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9A677" w14:textId="54F58B57" w:rsidR="0066624D" w:rsidRDefault="00836AEF" w:rsidP="00CB30FF">
      <w:pPr>
        <w:pStyle w:val="Heading1"/>
        <w:spacing w:before="79"/>
        <w:ind w:left="0"/>
        <w:jc w:val="center"/>
      </w:pPr>
      <w:r>
        <w:t>BUILDING ENERGY BENCHMARKING POLICY/PROCEDURES</w:t>
      </w:r>
    </w:p>
    <w:p w14:paraId="6AEF600B" w14:textId="7522A4E4" w:rsidR="00CB30FF" w:rsidRDefault="00CB30FF" w:rsidP="00CB30FF">
      <w:pPr>
        <w:pStyle w:val="Heading1"/>
        <w:spacing w:before="79"/>
        <w:ind w:left="0"/>
        <w:jc w:val="center"/>
      </w:pPr>
      <w:r>
        <w:t>Adopted</w:t>
      </w:r>
      <w:r w:rsidR="00C94CC3">
        <w:t xml:space="preserve"> December 21</w:t>
      </w:r>
      <w:r>
        <w:t>, 2020</w:t>
      </w:r>
    </w:p>
    <w:p w14:paraId="59B3FF04" w14:textId="77777777" w:rsidR="0066624D" w:rsidRDefault="0066624D">
      <w:pPr>
        <w:pStyle w:val="BodyText"/>
        <w:rPr>
          <w:b/>
        </w:rPr>
      </w:pPr>
    </w:p>
    <w:p w14:paraId="694B29D9" w14:textId="77777777" w:rsidR="0066624D" w:rsidRDefault="00836AEF">
      <w:pPr>
        <w:ind w:left="120"/>
        <w:rPr>
          <w:b/>
          <w:sz w:val="24"/>
        </w:rPr>
      </w:pPr>
      <w:r>
        <w:rPr>
          <w:b/>
          <w:sz w:val="24"/>
        </w:rPr>
        <w:t>PURPOSE:</w:t>
      </w:r>
    </w:p>
    <w:p w14:paraId="03914B2B" w14:textId="77777777" w:rsidR="0066624D" w:rsidRDefault="00836AEF">
      <w:pPr>
        <w:pStyle w:val="BodyText"/>
        <w:ind w:left="120" w:right="482"/>
      </w:pPr>
      <w:r>
        <w:t xml:space="preserve">The Town Board of the Town of Canandaigua is adopting this building energy benchmarking policy for the purpose of comparing energy costs of certain municipal buildings to other municipal buildings </w:t>
      </w:r>
      <w:proofErr w:type="gramStart"/>
      <w:r>
        <w:t>in order to</w:t>
      </w:r>
      <w:proofErr w:type="gramEnd"/>
      <w:r>
        <w:t xml:space="preserve"> monitor efficiency in energy usage.</w:t>
      </w:r>
    </w:p>
    <w:p w14:paraId="77FD6238" w14:textId="77777777" w:rsidR="0066624D" w:rsidRDefault="0066624D">
      <w:pPr>
        <w:pStyle w:val="BodyText"/>
      </w:pPr>
    </w:p>
    <w:p w14:paraId="4EAE07FD" w14:textId="77777777" w:rsidR="0066624D" w:rsidRDefault="00836AEF">
      <w:pPr>
        <w:pStyle w:val="Heading1"/>
      </w:pPr>
      <w:r>
        <w:t>POLICY STATEMENT:</w:t>
      </w:r>
    </w:p>
    <w:p w14:paraId="05754251" w14:textId="77777777" w:rsidR="0066624D" w:rsidRDefault="00836AEF">
      <w:pPr>
        <w:ind w:left="119"/>
        <w:rPr>
          <w:b/>
          <w:sz w:val="24"/>
        </w:rPr>
      </w:pPr>
      <w:r>
        <w:rPr>
          <w:b/>
          <w:sz w:val="24"/>
        </w:rPr>
        <w:t>§1.</w:t>
      </w:r>
      <w:r>
        <w:rPr>
          <w:b/>
          <w:spacing w:val="59"/>
          <w:sz w:val="24"/>
        </w:rPr>
        <w:t xml:space="preserve"> </w:t>
      </w:r>
      <w:r>
        <w:rPr>
          <w:b/>
          <w:sz w:val="24"/>
        </w:rPr>
        <w:t>DEFINITIONS</w:t>
      </w:r>
    </w:p>
    <w:p w14:paraId="7E7DC2E3" w14:textId="77777777" w:rsidR="0066624D" w:rsidRDefault="00836AEF">
      <w:pPr>
        <w:pStyle w:val="ListParagraph"/>
        <w:numPr>
          <w:ilvl w:val="0"/>
          <w:numId w:val="5"/>
        </w:numPr>
        <w:tabs>
          <w:tab w:val="left" w:pos="512"/>
        </w:tabs>
        <w:ind w:left="119" w:right="327" w:firstLine="0"/>
        <w:rPr>
          <w:sz w:val="24"/>
        </w:rPr>
      </w:pPr>
      <w:r>
        <w:rPr>
          <w:sz w:val="24"/>
        </w:rPr>
        <w:t>“Benchmarking Information” shall mean information generated by Portfolio Manager, as herein defined including descriptive information about the physical building and its operational characteristics.</w:t>
      </w:r>
    </w:p>
    <w:p w14:paraId="39AA77C6" w14:textId="77777777" w:rsidR="0066624D" w:rsidRDefault="0066624D">
      <w:pPr>
        <w:pStyle w:val="BodyText"/>
      </w:pPr>
    </w:p>
    <w:p w14:paraId="5BC1C3C4" w14:textId="77777777" w:rsidR="0066624D" w:rsidRDefault="00836AEF">
      <w:pPr>
        <w:pStyle w:val="ListParagraph"/>
        <w:numPr>
          <w:ilvl w:val="1"/>
          <w:numId w:val="5"/>
        </w:numPr>
        <w:tabs>
          <w:tab w:val="left" w:pos="459"/>
        </w:tabs>
        <w:ind w:right="360" w:firstLine="0"/>
        <w:rPr>
          <w:sz w:val="24"/>
        </w:rPr>
      </w:pPr>
      <w:r>
        <w:rPr>
          <w:sz w:val="24"/>
        </w:rPr>
        <w:t>“Building Energy Benchmarking” shall mean the process of measuring a building’s Energy use, tracking that use over time, and comparing performance to similar</w:t>
      </w:r>
      <w:r>
        <w:rPr>
          <w:spacing w:val="-7"/>
          <w:sz w:val="24"/>
        </w:rPr>
        <w:t xml:space="preserve"> </w:t>
      </w:r>
      <w:r>
        <w:rPr>
          <w:sz w:val="24"/>
        </w:rPr>
        <w:t>buildings.</w:t>
      </w:r>
    </w:p>
    <w:p w14:paraId="33801211" w14:textId="77777777" w:rsidR="0066624D" w:rsidRDefault="0066624D">
      <w:pPr>
        <w:pStyle w:val="BodyText"/>
      </w:pPr>
    </w:p>
    <w:p w14:paraId="5341E42D" w14:textId="77777777" w:rsidR="0066624D" w:rsidRDefault="00836AEF">
      <w:pPr>
        <w:pStyle w:val="ListParagraph"/>
        <w:numPr>
          <w:ilvl w:val="1"/>
          <w:numId w:val="5"/>
        </w:numPr>
        <w:tabs>
          <w:tab w:val="left" w:pos="466"/>
        </w:tabs>
        <w:ind w:right="118" w:firstLine="0"/>
        <w:rPr>
          <w:sz w:val="24"/>
        </w:rPr>
      </w:pPr>
      <w:r>
        <w:rPr>
          <w:sz w:val="24"/>
        </w:rPr>
        <w:t>“Covered Municipal Building” shall mean a building or facility that is owned or occupied by the Town of Canandaigua that is 1,000 square feet or larger in</w:t>
      </w:r>
      <w:r>
        <w:rPr>
          <w:spacing w:val="-7"/>
          <w:sz w:val="24"/>
        </w:rPr>
        <w:t xml:space="preserve"> </w:t>
      </w:r>
      <w:r>
        <w:rPr>
          <w:sz w:val="24"/>
        </w:rPr>
        <w:t>size.</w:t>
      </w:r>
    </w:p>
    <w:p w14:paraId="21DB6F90" w14:textId="77777777" w:rsidR="0066624D" w:rsidRDefault="0066624D">
      <w:pPr>
        <w:pStyle w:val="BodyText"/>
      </w:pPr>
    </w:p>
    <w:p w14:paraId="7A539949" w14:textId="77777777" w:rsidR="0066624D" w:rsidRDefault="00836AEF">
      <w:pPr>
        <w:pStyle w:val="ListParagraph"/>
        <w:numPr>
          <w:ilvl w:val="1"/>
          <w:numId w:val="5"/>
        </w:numPr>
        <w:tabs>
          <w:tab w:val="left" w:pos="490"/>
        </w:tabs>
        <w:ind w:right="115" w:firstLine="0"/>
        <w:jc w:val="both"/>
        <w:rPr>
          <w:sz w:val="24"/>
        </w:rPr>
      </w:pPr>
      <w:r>
        <w:rPr>
          <w:sz w:val="24"/>
        </w:rPr>
        <w:t>“Energy” shall mean electricity, natural gas, steam, hot or chilled water, fuel oil, or other product</w:t>
      </w:r>
      <w:r>
        <w:rPr>
          <w:spacing w:val="-8"/>
          <w:sz w:val="24"/>
        </w:rPr>
        <w:t xml:space="preserve"> </w:t>
      </w:r>
      <w:r>
        <w:rPr>
          <w:sz w:val="24"/>
        </w:rPr>
        <w:t>for</w:t>
      </w:r>
      <w:r>
        <w:rPr>
          <w:spacing w:val="-9"/>
          <w:sz w:val="24"/>
        </w:rPr>
        <w:t xml:space="preserve"> </w:t>
      </w:r>
      <w:r>
        <w:rPr>
          <w:sz w:val="24"/>
        </w:rPr>
        <w:t>use</w:t>
      </w:r>
      <w:r>
        <w:rPr>
          <w:spacing w:val="-10"/>
          <w:sz w:val="24"/>
        </w:rPr>
        <w:t xml:space="preserve"> </w:t>
      </w:r>
      <w:r>
        <w:rPr>
          <w:sz w:val="24"/>
        </w:rPr>
        <w:t>in</w:t>
      </w:r>
      <w:r>
        <w:rPr>
          <w:spacing w:val="-9"/>
          <w:sz w:val="24"/>
        </w:rPr>
        <w:t xml:space="preserve"> </w:t>
      </w:r>
      <w:r>
        <w:rPr>
          <w:sz w:val="24"/>
        </w:rPr>
        <w:t>a</w:t>
      </w:r>
      <w:r>
        <w:rPr>
          <w:spacing w:val="-10"/>
          <w:sz w:val="24"/>
        </w:rPr>
        <w:t xml:space="preserve"> </w:t>
      </w:r>
      <w:r>
        <w:rPr>
          <w:sz w:val="24"/>
        </w:rPr>
        <w:t>building,</w:t>
      </w:r>
      <w:r>
        <w:rPr>
          <w:spacing w:val="-9"/>
          <w:sz w:val="24"/>
        </w:rPr>
        <w:t xml:space="preserve"> </w:t>
      </w:r>
      <w:r>
        <w:rPr>
          <w:sz w:val="24"/>
        </w:rPr>
        <w:t>or</w:t>
      </w:r>
      <w:r>
        <w:rPr>
          <w:spacing w:val="-9"/>
          <w:sz w:val="24"/>
        </w:rPr>
        <w:t xml:space="preserve"> </w:t>
      </w:r>
      <w:r>
        <w:rPr>
          <w:sz w:val="24"/>
        </w:rPr>
        <w:t>renewable</w:t>
      </w:r>
      <w:r>
        <w:rPr>
          <w:spacing w:val="-10"/>
          <w:sz w:val="24"/>
        </w:rPr>
        <w:t xml:space="preserve"> </w:t>
      </w:r>
      <w:r>
        <w:rPr>
          <w:sz w:val="24"/>
        </w:rPr>
        <w:t>on-site</w:t>
      </w:r>
      <w:r>
        <w:rPr>
          <w:spacing w:val="-10"/>
          <w:sz w:val="24"/>
        </w:rPr>
        <w:t xml:space="preserve"> </w:t>
      </w:r>
      <w:r>
        <w:rPr>
          <w:sz w:val="24"/>
        </w:rPr>
        <w:t>electricity</w:t>
      </w:r>
      <w:r>
        <w:rPr>
          <w:spacing w:val="-9"/>
          <w:sz w:val="24"/>
        </w:rPr>
        <w:t xml:space="preserve"> </w:t>
      </w:r>
      <w:r>
        <w:rPr>
          <w:sz w:val="24"/>
        </w:rPr>
        <w:t>generation,</w:t>
      </w:r>
      <w:r>
        <w:rPr>
          <w:spacing w:val="-9"/>
          <w:sz w:val="24"/>
        </w:rPr>
        <w:t xml:space="preserve"> </w:t>
      </w:r>
      <w:r>
        <w:rPr>
          <w:sz w:val="24"/>
        </w:rPr>
        <w:t>for</w:t>
      </w:r>
      <w:r>
        <w:rPr>
          <w:spacing w:val="-7"/>
          <w:sz w:val="24"/>
        </w:rPr>
        <w:t xml:space="preserve"> </w:t>
      </w:r>
      <w:r>
        <w:rPr>
          <w:sz w:val="24"/>
        </w:rPr>
        <w:t>purposes</w:t>
      </w:r>
      <w:r>
        <w:rPr>
          <w:spacing w:val="-8"/>
          <w:sz w:val="24"/>
        </w:rPr>
        <w:t xml:space="preserve"> </w:t>
      </w:r>
      <w:r>
        <w:rPr>
          <w:sz w:val="24"/>
        </w:rPr>
        <w:t>of</w:t>
      </w:r>
      <w:r>
        <w:rPr>
          <w:spacing w:val="-9"/>
          <w:sz w:val="24"/>
        </w:rPr>
        <w:t xml:space="preserve"> </w:t>
      </w:r>
      <w:r>
        <w:rPr>
          <w:sz w:val="24"/>
        </w:rPr>
        <w:t>providing heating, cooling, lighting, water heating, or for powering or fueling other end-uses in the</w:t>
      </w:r>
      <w:r>
        <w:rPr>
          <w:spacing w:val="-26"/>
          <w:sz w:val="24"/>
        </w:rPr>
        <w:t xml:space="preserve"> </w:t>
      </w:r>
      <w:r>
        <w:rPr>
          <w:sz w:val="24"/>
        </w:rPr>
        <w:t>building and related facilities, as reflected in Utility bills or other documentation of actual Energy</w:t>
      </w:r>
      <w:r>
        <w:rPr>
          <w:spacing w:val="-16"/>
          <w:sz w:val="24"/>
        </w:rPr>
        <w:t xml:space="preserve"> </w:t>
      </w:r>
      <w:r>
        <w:rPr>
          <w:sz w:val="24"/>
        </w:rPr>
        <w:t>use.</w:t>
      </w:r>
    </w:p>
    <w:p w14:paraId="742C8BA3" w14:textId="77777777" w:rsidR="0066624D" w:rsidRDefault="0066624D">
      <w:pPr>
        <w:pStyle w:val="BodyText"/>
      </w:pPr>
    </w:p>
    <w:p w14:paraId="6BF5F1CF" w14:textId="77777777" w:rsidR="0066624D" w:rsidRDefault="00836AEF">
      <w:pPr>
        <w:pStyle w:val="ListParagraph"/>
        <w:numPr>
          <w:ilvl w:val="1"/>
          <w:numId w:val="5"/>
        </w:numPr>
        <w:tabs>
          <w:tab w:val="left" w:pos="476"/>
        </w:tabs>
        <w:ind w:right="117" w:firstLine="0"/>
        <w:jc w:val="both"/>
        <w:rPr>
          <w:sz w:val="24"/>
        </w:rPr>
      </w:pPr>
      <w:r>
        <w:rPr>
          <w:sz w:val="24"/>
        </w:rPr>
        <w:t>“Energy Performance Score” shall mean the numeric rating generated by Portfolio Manager that compares the Energy usage of the building to that of similar</w:t>
      </w:r>
      <w:r>
        <w:rPr>
          <w:spacing w:val="-7"/>
          <w:sz w:val="24"/>
        </w:rPr>
        <w:t xml:space="preserve"> </w:t>
      </w:r>
      <w:r>
        <w:rPr>
          <w:sz w:val="24"/>
        </w:rPr>
        <w:t>buildings.</w:t>
      </w:r>
    </w:p>
    <w:p w14:paraId="554A8D4E" w14:textId="77777777" w:rsidR="0066624D" w:rsidRDefault="0066624D">
      <w:pPr>
        <w:pStyle w:val="BodyText"/>
      </w:pPr>
    </w:p>
    <w:p w14:paraId="281BD3F6" w14:textId="77777777" w:rsidR="0066624D" w:rsidRDefault="00836AEF">
      <w:pPr>
        <w:pStyle w:val="ListParagraph"/>
        <w:numPr>
          <w:ilvl w:val="1"/>
          <w:numId w:val="5"/>
        </w:numPr>
        <w:tabs>
          <w:tab w:val="left" w:pos="471"/>
        </w:tabs>
        <w:ind w:right="119" w:firstLine="0"/>
        <w:jc w:val="both"/>
        <w:rPr>
          <w:sz w:val="24"/>
        </w:rPr>
      </w:pPr>
      <w:r>
        <w:rPr>
          <w:sz w:val="24"/>
        </w:rPr>
        <w:t xml:space="preserve">“Energy Use Intensity (EUI)” shall mean the </w:t>
      </w:r>
      <w:proofErr w:type="spellStart"/>
      <w:r>
        <w:rPr>
          <w:sz w:val="24"/>
        </w:rPr>
        <w:t>kBTUs</w:t>
      </w:r>
      <w:proofErr w:type="spellEnd"/>
      <w:r>
        <w:rPr>
          <w:sz w:val="24"/>
        </w:rPr>
        <w:t xml:space="preserve"> (1,000 British Thermal Units) used per square foot of gross floor</w:t>
      </w:r>
      <w:r>
        <w:rPr>
          <w:spacing w:val="-2"/>
          <w:sz w:val="24"/>
        </w:rPr>
        <w:t xml:space="preserve"> </w:t>
      </w:r>
      <w:r>
        <w:rPr>
          <w:sz w:val="24"/>
        </w:rPr>
        <w:t>area.</w:t>
      </w:r>
    </w:p>
    <w:p w14:paraId="4E9F4A0D" w14:textId="77777777" w:rsidR="0066624D" w:rsidRDefault="0066624D">
      <w:pPr>
        <w:pStyle w:val="BodyText"/>
      </w:pPr>
    </w:p>
    <w:p w14:paraId="4FE8ABB7" w14:textId="77777777" w:rsidR="0066624D" w:rsidRDefault="00836AEF">
      <w:pPr>
        <w:pStyle w:val="ListParagraph"/>
        <w:numPr>
          <w:ilvl w:val="1"/>
          <w:numId w:val="5"/>
        </w:numPr>
        <w:tabs>
          <w:tab w:val="left" w:pos="456"/>
        </w:tabs>
        <w:spacing w:before="1"/>
        <w:ind w:right="115" w:firstLine="0"/>
        <w:jc w:val="both"/>
        <w:rPr>
          <w:sz w:val="24"/>
        </w:rPr>
      </w:pPr>
      <w:r>
        <w:rPr>
          <w:sz w:val="24"/>
        </w:rPr>
        <w:t>“Gross</w:t>
      </w:r>
      <w:r>
        <w:rPr>
          <w:spacing w:val="-2"/>
          <w:sz w:val="24"/>
        </w:rPr>
        <w:t xml:space="preserve"> </w:t>
      </w:r>
      <w:r>
        <w:rPr>
          <w:sz w:val="24"/>
        </w:rPr>
        <w:t>Floor</w:t>
      </w:r>
      <w:r>
        <w:rPr>
          <w:spacing w:val="-6"/>
          <w:sz w:val="24"/>
        </w:rPr>
        <w:t xml:space="preserve"> </w:t>
      </w:r>
      <w:r>
        <w:rPr>
          <w:sz w:val="24"/>
        </w:rPr>
        <w:t>Area”</w:t>
      </w:r>
      <w:r>
        <w:rPr>
          <w:spacing w:val="-5"/>
          <w:sz w:val="24"/>
        </w:rPr>
        <w:t xml:space="preserve"> </w:t>
      </w:r>
      <w:r>
        <w:rPr>
          <w:sz w:val="24"/>
        </w:rPr>
        <w:t>shall</w:t>
      </w:r>
      <w:r>
        <w:rPr>
          <w:spacing w:val="-4"/>
          <w:sz w:val="24"/>
        </w:rPr>
        <w:t xml:space="preserve"> </w:t>
      </w:r>
      <w:r>
        <w:rPr>
          <w:sz w:val="24"/>
        </w:rPr>
        <w:t>mean</w:t>
      </w:r>
      <w:r>
        <w:rPr>
          <w:spacing w:val="-4"/>
          <w:sz w:val="24"/>
        </w:rPr>
        <w:t xml:space="preserve"> </w:t>
      </w:r>
      <w:r>
        <w:rPr>
          <w:sz w:val="24"/>
        </w:rPr>
        <w:t>the</w:t>
      </w:r>
      <w:r>
        <w:rPr>
          <w:spacing w:val="-6"/>
          <w:sz w:val="24"/>
        </w:rPr>
        <w:t xml:space="preserve"> </w:t>
      </w:r>
      <w:r>
        <w:rPr>
          <w:sz w:val="24"/>
        </w:rPr>
        <w:t>total</w:t>
      </w:r>
      <w:r>
        <w:rPr>
          <w:spacing w:val="-4"/>
          <w:sz w:val="24"/>
        </w:rPr>
        <w:t xml:space="preserve"> </w:t>
      </w:r>
      <w:r>
        <w:rPr>
          <w:sz w:val="24"/>
        </w:rPr>
        <w:t>number</w:t>
      </w:r>
      <w:r>
        <w:rPr>
          <w:spacing w:val="-5"/>
          <w:sz w:val="24"/>
        </w:rPr>
        <w:t xml:space="preserve"> </w:t>
      </w:r>
      <w:r>
        <w:rPr>
          <w:sz w:val="24"/>
        </w:rPr>
        <w:t>of</w:t>
      </w:r>
      <w:r>
        <w:rPr>
          <w:spacing w:val="-6"/>
          <w:sz w:val="24"/>
        </w:rPr>
        <w:t xml:space="preserve"> </w:t>
      </w:r>
      <w:r>
        <w:rPr>
          <w:sz w:val="24"/>
        </w:rPr>
        <w:t>enclosed</w:t>
      </w:r>
      <w:r>
        <w:rPr>
          <w:spacing w:val="-4"/>
          <w:sz w:val="24"/>
        </w:rPr>
        <w:t xml:space="preserve"> </w:t>
      </w:r>
      <w:r>
        <w:rPr>
          <w:sz w:val="24"/>
        </w:rPr>
        <w:t>square</w:t>
      </w:r>
      <w:r>
        <w:rPr>
          <w:spacing w:val="-6"/>
          <w:sz w:val="24"/>
        </w:rPr>
        <w:t xml:space="preserve"> </w:t>
      </w:r>
      <w:r>
        <w:rPr>
          <w:sz w:val="24"/>
        </w:rPr>
        <w:t>feet</w:t>
      </w:r>
      <w:r>
        <w:rPr>
          <w:spacing w:val="-2"/>
          <w:sz w:val="24"/>
        </w:rPr>
        <w:t xml:space="preserve"> </w:t>
      </w:r>
      <w:r>
        <w:rPr>
          <w:sz w:val="24"/>
        </w:rPr>
        <w:t>measured</w:t>
      </w:r>
      <w:r>
        <w:rPr>
          <w:spacing w:val="-4"/>
          <w:sz w:val="24"/>
        </w:rPr>
        <w:t xml:space="preserve"> </w:t>
      </w:r>
      <w:r>
        <w:rPr>
          <w:sz w:val="24"/>
        </w:rPr>
        <w:t>between</w:t>
      </w:r>
      <w:r>
        <w:rPr>
          <w:spacing w:val="-5"/>
          <w:sz w:val="24"/>
        </w:rPr>
        <w:t xml:space="preserve"> </w:t>
      </w:r>
      <w:r>
        <w:rPr>
          <w:sz w:val="24"/>
        </w:rPr>
        <w:t>the exterior surfaces of the fixed walls within any structure used or intended for supporting or sheltering any use or</w:t>
      </w:r>
      <w:r>
        <w:rPr>
          <w:spacing w:val="-3"/>
          <w:sz w:val="24"/>
        </w:rPr>
        <w:t xml:space="preserve"> </w:t>
      </w:r>
      <w:r>
        <w:rPr>
          <w:sz w:val="24"/>
        </w:rPr>
        <w:t>occupancy.</w:t>
      </w:r>
    </w:p>
    <w:p w14:paraId="2C1060E6" w14:textId="77777777" w:rsidR="0066624D" w:rsidRDefault="0066624D">
      <w:pPr>
        <w:pStyle w:val="BodyText"/>
        <w:spacing w:before="11"/>
        <w:rPr>
          <w:sz w:val="23"/>
        </w:rPr>
      </w:pPr>
    </w:p>
    <w:p w14:paraId="0B623418" w14:textId="77777777" w:rsidR="0066624D" w:rsidRDefault="00836AEF">
      <w:pPr>
        <w:pStyle w:val="ListParagraph"/>
        <w:numPr>
          <w:ilvl w:val="1"/>
          <w:numId w:val="5"/>
        </w:numPr>
        <w:tabs>
          <w:tab w:val="left" w:pos="473"/>
        </w:tabs>
        <w:ind w:right="118" w:firstLine="0"/>
        <w:jc w:val="both"/>
        <w:rPr>
          <w:sz w:val="24"/>
        </w:rPr>
      </w:pPr>
      <w:r>
        <w:rPr>
          <w:sz w:val="24"/>
        </w:rPr>
        <w:t>“Portfolio Manager” shall mean ENERGY STAR Portfolio Manager, the internet-based tool developed and maintained by the United States Environmental Protection Agency to track and assess the relative Energy performance of buildings nationwide, or</w:t>
      </w:r>
      <w:r>
        <w:rPr>
          <w:spacing w:val="-6"/>
          <w:sz w:val="24"/>
        </w:rPr>
        <w:t xml:space="preserve"> </w:t>
      </w:r>
      <w:r>
        <w:rPr>
          <w:sz w:val="24"/>
        </w:rPr>
        <w:t>successor.</w:t>
      </w:r>
    </w:p>
    <w:p w14:paraId="51753CB5" w14:textId="77777777" w:rsidR="0066624D" w:rsidRDefault="0066624D">
      <w:pPr>
        <w:pStyle w:val="BodyText"/>
      </w:pPr>
    </w:p>
    <w:p w14:paraId="19A6CA3E" w14:textId="77777777" w:rsidR="0066624D" w:rsidRDefault="00836AEF">
      <w:pPr>
        <w:pStyle w:val="ListParagraph"/>
        <w:numPr>
          <w:ilvl w:val="1"/>
          <w:numId w:val="5"/>
        </w:numPr>
        <w:tabs>
          <w:tab w:val="left" w:pos="447"/>
        </w:tabs>
        <w:ind w:left="446" w:hanging="327"/>
        <w:jc w:val="both"/>
        <w:rPr>
          <w:sz w:val="24"/>
        </w:rPr>
      </w:pPr>
      <w:r>
        <w:rPr>
          <w:sz w:val="24"/>
        </w:rPr>
        <w:t>“Utility”</w:t>
      </w:r>
      <w:r>
        <w:rPr>
          <w:spacing w:val="-14"/>
          <w:sz w:val="24"/>
        </w:rPr>
        <w:t xml:space="preserve"> </w:t>
      </w:r>
      <w:r>
        <w:rPr>
          <w:sz w:val="24"/>
        </w:rPr>
        <w:t>shall</w:t>
      </w:r>
      <w:r>
        <w:rPr>
          <w:spacing w:val="-13"/>
          <w:sz w:val="24"/>
        </w:rPr>
        <w:t xml:space="preserve"> </w:t>
      </w:r>
      <w:r>
        <w:rPr>
          <w:sz w:val="24"/>
        </w:rPr>
        <w:t>mean</w:t>
      </w:r>
      <w:r>
        <w:rPr>
          <w:spacing w:val="-10"/>
          <w:sz w:val="24"/>
        </w:rPr>
        <w:t xml:space="preserve"> </w:t>
      </w:r>
      <w:r>
        <w:rPr>
          <w:sz w:val="24"/>
        </w:rPr>
        <w:t>an</w:t>
      </w:r>
      <w:r>
        <w:rPr>
          <w:spacing w:val="-13"/>
          <w:sz w:val="24"/>
        </w:rPr>
        <w:t xml:space="preserve"> </w:t>
      </w:r>
      <w:r>
        <w:rPr>
          <w:sz w:val="24"/>
        </w:rPr>
        <w:t>entity</w:t>
      </w:r>
      <w:r>
        <w:rPr>
          <w:spacing w:val="-13"/>
          <w:sz w:val="24"/>
        </w:rPr>
        <w:t xml:space="preserve"> </w:t>
      </w:r>
      <w:r>
        <w:rPr>
          <w:sz w:val="24"/>
        </w:rPr>
        <w:t>that</w:t>
      </w:r>
      <w:r>
        <w:rPr>
          <w:spacing w:val="-12"/>
          <w:sz w:val="24"/>
        </w:rPr>
        <w:t xml:space="preserve"> </w:t>
      </w:r>
      <w:r>
        <w:rPr>
          <w:sz w:val="24"/>
        </w:rPr>
        <w:t>distributes</w:t>
      </w:r>
      <w:r>
        <w:rPr>
          <w:spacing w:val="-11"/>
          <w:sz w:val="24"/>
        </w:rPr>
        <w:t xml:space="preserve"> </w:t>
      </w:r>
      <w:r>
        <w:rPr>
          <w:sz w:val="24"/>
        </w:rPr>
        <w:t>and</w:t>
      </w:r>
      <w:r>
        <w:rPr>
          <w:spacing w:val="-13"/>
          <w:sz w:val="24"/>
        </w:rPr>
        <w:t xml:space="preserve"> </w:t>
      </w:r>
      <w:r>
        <w:rPr>
          <w:sz w:val="24"/>
        </w:rPr>
        <w:t>sells</w:t>
      </w:r>
      <w:r>
        <w:rPr>
          <w:spacing w:val="-12"/>
          <w:sz w:val="24"/>
        </w:rPr>
        <w:t xml:space="preserve"> </w:t>
      </w:r>
      <w:r>
        <w:rPr>
          <w:sz w:val="24"/>
        </w:rPr>
        <w:t>Energy</w:t>
      </w:r>
      <w:r>
        <w:rPr>
          <w:spacing w:val="-13"/>
          <w:sz w:val="24"/>
        </w:rPr>
        <w:t xml:space="preserve"> </w:t>
      </w:r>
      <w:r>
        <w:rPr>
          <w:sz w:val="24"/>
        </w:rPr>
        <w:t>to</w:t>
      </w:r>
      <w:r>
        <w:rPr>
          <w:spacing w:val="-12"/>
          <w:sz w:val="24"/>
        </w:rPr>
        <w:t xml:space="preserve"> </w:t>
      </w:r>
      <w:r>
        <w:rPr>
          <w:sz w:val="24"/>
        </w:rPr>
        <w:t>Covered</w:t>
      </w:r>
      <w:r>
        <w:rPr>
          <w:spacing w:val="-11"/>
          <w:sz w:val="24"/>
        </w:rPr>
        <w:t xml:space="preserve"> </w:t>
      </w:r>
      <w:r>
        <w:rPr>
          <w:sz w:val="24"/>
        </w:rPr>
        <w:t>Municipal</w:t>
      </w:r>
      <w:r>
        <w:rPr>
          <w:spacing w:val="-13"/>
          <w:sz w:val="24"/>
        </w:rPr>
        <w:t xml:space="preserve"> </w:t>
      </w:r>
      <w:r>
        <w:rPr>
          <w:sz w:val="24"/>
        </w:rPr>
        <w:t>Buildings.</w:t>
      </w:r>
    </w:p>
    <w:p w14:paraId="2EA961E0" w14:textId="77777777" w:rsidR="0066624D" w:rsidRDefault="0066624D">
      <w:pPr>
        <w:pStyle w:val="BodyText"/>
      </w:pPr>
    </w:p>
    <w:p w14:paraId="331C8E71" w14:textId="77777777" w:rsidR="0066624D" w:rsidRDefault="00836AEF">
      <w:pPr>
        <w:pStyle w:val="ListParagraph"/>
        <w:numPr>
          <w:ilvl w:val="1"/>
          <w:numId w:val="5"/>
        </w:numPr>
        <w:tabs>
          <w:tab w:val="left" w:pos="464"/>
        </w:tabs>
        <w:ind w:left="119" w:right="119" w:firstLine="0"/>
        <w:jc w:val="both"/>
        <w:rPr>
          <w:sz w:val="24"/>
        </w:rPr>
      </w:pPr>
      <w:r>
        <w:rPr>
          <w:sz w:val="24"/>
        </w:rPr>
        <w:t>“Weather Normalized Site EUI” shall mean the amount of Energy that would have been used by a property under 30-year average temperatures, accounting for the difference between average temperatures and yearly</w:t>
      </w:r>
      <w:r>
        <w:rPr>
          <w:spacing w:val="-1"/>
          <w:sz w:val="24"/>
        </w:rPr>
        <w:t xml:space="preserve"> </w:t>
      </w:r>
      <w:r>
        <w:rPr>
          <w:sz w:val="24"/>
        </w:rPr>
        <w:t>fluctuations.</w:t>
      </w:r>
    </w:p>
    <w:p w14:paraId="69914423" w14:textId="77777777" w:rsidR="0066624D" w:rsidRDefault="0066624D">
      <w:pPr>
        <w:pStyle w:val="BodyText"/>
      </w:pPr>
    </w:p>
    <w:p w14:paraId="04EFF0AC" w14:textId="77777777" w:rsidR="0066624D" w:rsidRDefault="00836AEF">
      <w:pPr>
        <w:pStyle w:val="Heading1"/>
      </w:pPr>
      <w:r>
        <w:t>§2.</w:t>
      </w:r>
      <w:r>
        <w:rPr>
          <w:spacing w:val="59"/>
        </w:rPr>
        <w:t xml:space="preserve"> </w:t>
      </w:r>
      <w:r>
        <w:t>APPLICABILITY</w:t>
      </w:r>
    </w:p>
    <w:p w14:paraId="03F0B6ED" w14:textId="77777777" w:rsidR="0066624D" w:rsidRDefault="0066624D">
      <w:pPr>
        <w:sectPr w:rsidR="0066624D">
          <w:footerReference w:type="default" r:id="rId7"/>
          <w:type w:val="continuous"/>
          <w:pgSz w:w="12240" w:h="15840"/>
          <w:pgMar w:top="1360" w:right="1320" w:bottom="1220" w:left="1320" w:header="720" w:footer="1034" w:gutter="0"/>
          <w:pgNumType w:start="1"/>
          <w:cols w:space="720"/>
        </w:sectPr>
      </w:pPr>
    </w:p>
    <w:p w14:paraId="44A65DAA" w14:textId="77777777" w:rsidR="0066624D" w:rsidRDefault="00836AEF">
      <w:pPr>
        <w:pStyle w:val="ListParagraph"/>
        <w:numPr>
          <w:ilvl w:val="0"/>
          <w:numId w:val="4"/>
        </w:numPr>
        <w:tabs>
          <w:tab w:val="left" w:pos="478"/>
        </w:tabs>
        <w:spacing w:before="79"/>
        <w:ind w:right="116" w:firstLine="0"/>
        <w:jc w:val="both"/>
        <w:rPr>
          <w:sz w:val="24"/>
        </w:rPr>
      </w:pPr>
      <w:r>
        <w:rPr>
          <w:sz w:val="24"/>
        </w:rPr>
        <w:lastRenderedPageBreak/>
        <w:t>This policy is applicable to all Covered Municipal Buildings as defined in Section 2 of this policy.</w:t>
      </w:r>
    </w:p>
    <w:p w14:paraId="3D642C1C" w14:textId="77777777" w:rsidR="0066624D" w:rsidRDefault="0066624D">
      <w:pPr>
        <w:pStyle w:val="BodyText"/>
      </w:pPr>
    </w:p>
    <w:p w14:paraId="46FCF07C" w14:textId="77777777" w:rsidR="0066624D" w:rsidRDefault="00836AEF">
      <w:pPr>
        <w:pStyle w:val="ListParagraph"/>
        <w:numPr>
          <w:ilvl w:val="0"/>
          <w:numId w:val="4"/>
        </w:numPr>
        <w:tabs>
          <w:tab w:val="left" w:pos="545"/>
        </w:tabs>
        <w:ind w:right="114" w:firstLine="0"/>
        <w:jc w:val="both"/>
        <w:rPr>
          <w:sz w:val="24"/>
        </w:rPr>
      </w:pPr>
      <w:r>
        <w:rPr>
          <w:sz w:val="24"/>
        </w:rPr>
        <w:t>The Town Manager may exempt a particular Covered Municipal Building from the benchmarking requirement if the Town Manager determines that it has characteristics that make benchmarking</w:t>
      </w:r>
      <w:r>
        <w:rPr>
          <w:spacing w:val="-1"/>
          <w:sz w:val="24"/>
        </w:rPr>
        <w:t xml:space="preserve"> </w:t>
      </w:r>
      <w:r>
        <w:rPr>
          <w:sz w:val="24"/>
        </w:rPr>
        <w:t>impractical.</w:t>
      </w:r>
    </w:p>
    <w:p w14:paraId="70A2955E" w14:textId="77777777" w:rsidR="0066624D" w:rsidRDefault="0066624D">
      <w:pPr>
        <w:pStyle w:val="BodyText"/>
      </w:pPr>
    </w:p>
    <w:p w14:paraId="28492C90" w14:textId="77777777" w:rsidR="0066624D" w:rsidRDefault="00836AEF">
      <w:pPr>
        <w:pStyle w:val="Heading1"/>
      </w:pPr>
      <w:r>
        <w:t>§3. BENCHMARKING REQUIRED FOR COVERED MUNICIPAL BUILDINGS</w:t>
      </w:r>
    </w:p>
    <w:p w14:paraId="1A3F5C11" w14:textId="77777777" w:rsidR="0066624D" w:rsidRDefault="00836AEF">
      <w:pPr>
        <w:pStyle w:val="ListParagraph"/>
        <w:numPr>
          <w:ilvl w:val="0"/>
          <w:numId w:val="3"/>
        </w:numPr>
        <w:tabs>
          <w:tab w:val="left" w:pos="478"/>
        </w:tabs>
        <w:ind w:right="120" w:firstLine="0"/>
        <w:jc w:val="both"/>
        <w:rPr>
          <w:sz w:val="24"/>
        </w:rPr>
      </w:pPr>
      <w:r>
        <w:rPr>
          <w:sz w:val="24"/>
        </w:rPr>
        <w:t xml:space="preserve">No later than December 31, 2020, and no later than May 1 every year thereafter, the Town Manager or his or her designee shall </w:t>
      </w:r>
      <w:proofErr w:type="gramStart"/>
      <w:r>
        <w:rPr>
          <w:sz w:val="24"/>
        </w:rPr>
        <w:t>enter into</w:t>
      </w:r>
      <w:proofErr w:type="gramEnd"/>
      <w:r>
        <w:rPr>
          <w:sz w:val="24"/>
        </w:rPr>
        <w:t xml:space="preserve"> Portfolio Manager the total Energy consumed by each Covered Municipal Building, along with all other descriptive information required by Portfolio Manager for the previous calendar</w:t>
      </w:r>
      <w:r>
        <w:rPr>
          <w:spacing w:val="-5"/>
          <w:sz w:val="24"/>
        </w:rPr>
        <w:t xml:space="preserve"> </w:t>
      </w:r>
      <w:r>
        <w:rPr>
          <w:sz w:val="24"/>
        </w:rPr>
        <w:t>year.</w:t>
      </w:r>
    </w:p>
    <w:p w14:paraId="0BBBC428" w14:textId="77777777" w:rsidR="0066624D" w:rsidRDefault="0066624D">
      <w:pPr>
        <w:pStyle w:val="BodyText"/>
      </w:pPr>
    </w:p>
    <w:p w14:paraId="3D60ED0D" w14:textId="77777777" w:rsidR="0066624D" w:rsidRDefault="00836AEF">
      <w:pPr>
        <w:pStyle w:val="ListParagraph"/>
        <w:numPr>
          <w:ilvl w:val="0"/>
          <w:numId w:val="3"/>
        </w:numPr>
        <w:tabs>
          <w:tab w:val="left" w:pos="480"/>
        </w:tabs>
        <w:ind w:right="118" w:firstLine="0"/>
        <w:jc w:val="both"/>
        <w:rPr>
          <w:sz w:val="24"/>
        </w:rPr>
      </w:pPr>
      <w:r>
        <w:rPr>
          <w:sz w:val="24"/>
        </w:rPr>
        <w:t>For new Covered Municipal Buildings that have not accumulated 12 months of Energy use data by the first applicable date following occupancy for inputting Energy use into Portfolio Manager,</w:t>
      </w:r>
      <w:r>
        <w:rPr>
          <w:spacing w:val="-11"/>
          <w:sz w:val="24"/>
        </w:rPr>
        <w:t xml:space="preserve"> </w:t>
      </w:r>
      <w:r>
        <w:rPr>
          <w:sz w:val="24"/>
        </w:rPr>
        <w:t>the</w:t>
      </w:r>
      <w:r>
        <w:rPr>
          <w:spacing w:val="-13"/>
          <w:sz w:val="24"/>
        </w:rPr>
        <w:t xml:space="preserve"> </w:t>
      </w:r>
      <w:r>
        <w:rPr>
          <w:sz w:val="24"/>
        </w:rPr>
        <w:t>Town</w:t>
      </w:r>
      <w:r>
        <w:rPr>
          <w:spacing w:val="-11"/>
          <w:sz w:val="24"/>
        </w:rPr>
        <w:t xml:space="preserve"> </w:t>
      </w:r>
      <w:r>
        <w:rPr>
          <w:sz w:val="24"/>
        </w:rPr>
        <w:t>Manager</w:t>
      </w:r>
      <w:r>
        <w:rPr>
          <w:spacing w:val="-13"/>
          <w:sz w:val="24"/>
        </w:rPr>
        <w:t xml:space="preserve"> </w:t>
      </w:r>
      <w:r>
        <w:rPr>
          <w:sz w:val="24"/>
        </w:rPr>
        <w:t>or</w:t>
      </w:r>
      <w:r>
        <w:rPr>
          <w:spacing w:val="-13"/>
          <w:sz w:val="24"/>
        </w:rPr>
        <w:t xml:space="preserve"> </w:t>
      </w:r>
      <w:r>
        <w:rPr>
          <w:sz w:val="24"/>
        </w:rPr>
        <w:t>his</w:t>
      </w:r>
      <w:r>
        <w:rPr>
          <w:spacing w:val="-13"/>
          <w:sz w:val="24"/>
        </w:rPr>
        <w:t xml:space="preserve"> </w:t>
      </w:r>
      <w:r>
        <w:rPr>
          <w:sz w:val="24"/>
        </w:rPr>
        <w:t>or</w:t>
      </w:r>
      <w:r>
        <w:rPr>
          <w:spacing w:val="-13"/>
          <w:sz w:val="24"/>
        </w:rPr>
        <w:t xml:space="preserve"> </w:t>
      </w:r>
      <w:r>
        <w:rPr>
          <w:sz w:val="24"/>
        </w:rPr>
        <w:t>her</w:t>
      </w:r>
      <w:r>
        <w:rPr>
          <w:spacing w:val="-13"/>
          <w:sz w:val="24"/>
        </w:rPr>
        <w:t xml:space="preserve"> </w:t>
      </w:r>
      <w:r>
        <w:rPr>
          <w:sz w:val="24"/>
        </w:rPr>
        <w:t>designee</w:t>
      </w:r>
      <w:r>
        <w:rPr>
          <w:spacing w:val="-14"/>
          <w:sz w:val="24"/>
        </w:rPr>
        <w:t xml:space="preserve"> </w:t>
      </w:r>
      <w:r>
        <w:rPr>
          <w:sz w:val="24"/>
        </w:rPr>
        <w:t>shall</w:t>
      </w:r>
      <w:r>
        <w:rPr>
          <w:spacing w:val="-12"/>
          <w:sz w:val="24"/>
        </w:rPr>
        <w:t xml:space="preserve"> </w:t>
      </w:r>
      <w:r>
        <w:rPr>
          <w:sz w:val="24"/>
        </w:rPr>
        <w:t>begin</w:t>
      </w:r>
      <w:r>
        <w:rPr>
          <w:spacing w:val="-13"/>
          <w:sz w:val="24"/>
        </w:rPr>
        <w:t xml:space="preserve"> </w:t>
      </w:r>
      <w:r>
        <w:rPr>
          <w:sz w:val="24"/>
        </w:rPr>
        <w:t>inputting</w:t>
      </w:r>
      <w:r>
        <w:rPr>
          <w:spacing w:val="-12"/>
          <w:sz w:val="24"/>
        </w:rPr>
        <w:t xml:space="preserve"> </w:t>
      </w:r>
      <w:r>
        <w:rPr>
          <w:sz w:val="24"/>
        </w:rPr>
        <w:t>data</w:t>
      </w:r>
      <w:r>
        <w:rPr>
          <w:spacing w:val="-13"/>
          <w:sz w:val="24"/>
        </w:rPr>
        <w:t xml:space="preserve"> </w:t>
      </w:r>
      <w:r>
        <w:rPr>
          <w:sz w:val="24"/>
        </w:rPr>
        <w:t>in</w:t>
      </w:r>
      <w:r>
        <w:rPr>
          <w:spacing w:val="-13"/>
          <w:sz w:val="24"/>
        </w:rPr>
        <w:t xml:space="preserve"> </w:t>
      </w:r>
      <w:r>
        <w:rPr>
          <w:sz w:val="24"/>
        </w:rPr>
        <w:t>the</w:t>
      </w:r>
      <w:r>
        <w:rPr>
          <w:spacing w:val="-13"/>
          <w:sz w:val="24"/>
        </w:rPr>
        <w:t xml:space="preserve"> </w:t>
      </w:r>
      <w:r>
        <w:rPr>
          <w:sz w:val="24"/>
        </w:rPr>
        <w:t>following</w:t>
      </w:r>
      <w:r>
        <w:rPr>
          <w:spacing w:val="-12"/>
          <w:sz w:val="24"/>
        </w:rPr>
        <w:t xml:space="preserve"> </w:t>
      </w:r>
      <w:r>
        <w:rPr>
          <w:sz w:val="24"/>
        </w:rPr>
        <w:t>year.</w:t>
      </w:r>
    </w:p>
    <w:p w14:paraId="4A72E03E" w14:textId="77777777" w:rsidR="0066624D" w:rsidRDefault="0066624D">
      <w:pPr>
        <w:pStyle w:val="BodyText"/>
      </w:pPr>
    </w:p>
    <w:p w14:paraId="3411802B" w14:textId="77777777" w:rsidR="0066624D" w:rsidRDefault="00836AEF">
      <w:pPr>
        <w:pStyle w:val="Heading1"/>
      </w:pPr>
      <w:r>
        <w:t>§4. DISCLOSURE AND PUBLICATION OF BENCHMARKING INFORMATION</w:t>
      </w:r>
    </w:p>
    <w:p w14:paraId="1E6EBCB4" w14:textId="77777777" w:rsidR="0066624D" w:rsidRDefault="00836AEF">
      <w:pPr>
        <w:pStyle w:val="ListParagraph"/>
        <w:numPr>
          <w:ilvl w:val="0"/>
          <w:numId w:val="2"/>
        </w:numPr>
        <w:tabs>
          <w:tab w:val="left" w:pos="528"/>
        </w:tabs>
        <w:ind w:right="117" w:firstLine="0"/>
        <w:jc w:val="both"/>
        <w:rPr>
          <w:sz w:val="24"/>
        </w:rPr>
      </w:pPr>
      <w:r>
        <w:rPr>
          <w:sz w:val="24"/>
        </w:rPr>
        <w:t>The Town Manager shall make available to the public on the internet Benchmarking Information for the previous calendar</w:t>
      </w:r>
      <w:r>
        <w:rPr>
          <w:spacing w:val="-4"/>
          <w:sz w:val="24"/>
        </w:rPr>
        <w:t xml:space="preserve"> </w:t>
      </w:r>
      <w:r>
        <w:rPr>
          <w:sz w:val="24"/>
        </w:rPr>
        <w:t>year:</w:t>
      </w:r>
    </w:p>
    <w:p w14:paraId="1949F905" w14:textId="77777777" w:rsidR="0066624D" w:rsidRDefault="00836AEF">
      <w:pPr>
        <w:pStyle w:val="ListParagraph"/>
        <w:numPr>
          <w:ilvl w:val="1"/>
          <w:numId w:val="2"/>
        </w:numPr>
        <w:tabs>
          <w:tab w:val="left" w:pos="1186"/>
        </w:tabs>
        <w:ind w:right="119" w:firstLine="0"/>
        <w:jc w:val="both"/>
        <w:rPr>
          <w:sz w:val="24"/>
        </w:rPr>
      </w:pPr>
      <w:r>
        <w:rPr>
          <w:sz w:val="24"/>
        </w:rPr>
        <w:t>No later than December 31, 2020, and no later than May 1 every year thereafter for Covered Municipal Buildings;</w:t>
      </w:r>
      <w:r>
        <w:rPr>
          <w:spacing w:val="-1"/>
          <w:sz w:val="24"/>
        </w:rPr>
        <w:t xml:space="preserve"> </w:t>
      </w:r>
      <w:r>
        <w:rPr>
          <w:sz w:val="24"/>
        </w:rPr>
        <w:t>and</w:t>
      </w:r>
    </w:p>
    <w:p w14:paraId="45E2EE10" w14:textId="77777777" w:rsidR="0066624D" w:rsidRDefault="0066624D">
      <w:pPr>
        <w:pStyle w:val="BodyText"/>
      </w:pPr>
    </w:p>
    <w:p w14:paraId="2DD3ACF6" w14:textId="77777777" w:rsidR="0066624D" w:rsidRDefault="00836AEF">
      <w:pPr>
        <w:pStyle w:val="ListParagraph"/>
        <w:numPr>
          <w:ilvl w:val="0"/>
          <w:numId w:val="2"/>
        </w:numPr>
        <w:tabs>
          <w:tab w:val="left" w:pos="492"/>
        </w:tabs>
        <w:ind w:right="120" w:firstLine="0"/>
        <w:jc w:val="both"/>
        <w:rPr>
          <w:sz w:val="24"/>
        </w:rPr>
      </w:pPr>
      <w:r>
        <w:rPr>
          <w:sz w:val="24"/>
        </w:rPr>
        <w:t>The Town Manager shall make available to the public on the internet and update at least annually, the following Benchmarking Information:</w:t>
      </w:r>
    </w:p>
    <w:p w14:paraId="2C9F2858" w14:textId="77777777" w:rsidR="0066624D" w:rsidRDefault="00836AEF">
      <w:pPr>
        <w:pStyle w:val="ListParagraph"/>
        <w:numPr>
          <w:ilvl w:val="1"/>
          <w:numId w:val="2"/>
        </w:numPr>
        <w:tabs>
          <w:tab w:val="left" w:pos="1176"/>
        </w:tabs>
        <w:ind w:right="118" w:firstLine="0"/>
        <w:jc w:val="both"/>
        <w:rPr>
          <w:sz w:val="24"/>
        </w:rPr>
      </w:pPr>
      <w:r>
        <w:rPr>
          <w:sz w:val="24"/>
        </w:rPr>
        <w:t>Summary statistics on Energy consumption for Covered Municipal Buildings derived from aggregation of Benchmarking Information; and</w:t>
      </w:r>
    </w:p>
    <w:p w14:paraId="70DB7CAD" w14:textId="77777777" w:rsidR="0066624D" w:rsidRDefault="00836AEF">
      <w:pPr>
        <w:pStyle w:val="ListParagraph"/>
        <w:numPr>
          <w:ilvl w:val="1"/>
          <w:numId w:val="2"/>
        </w:numPr>
        <w:tabs>
          <w:tab w:val="left" w:pos="1179"/>
        </w:tabs>
        <w:ind w:left="1178" w:hanging="339"/>
        <w:jc w:val="both"/>
        <w:rPr>
          <w:sz w:val="24"/>
        </w:rPr>
      </w:pPr>
      <w:r>
        <w:rPr>
          <w:sz w:val="24"/>
        </w:rPr>
        <w:t>For each Covered Municipal Building</w:t>
      </w:r>
      <w:r>
        <w:rPr>
          <w:spacing w:val="-2"/>
          <w:sz w:val="24"/>
        </w:rPr>
        <w:t xml:space="preserve"> </w:t>
      </w:r>
      <w:r>
        <w:rPr>
          <w:sz w:val="24"/>
        </w:rPr>
        <w:t>individually:</w:t>
      </w:r>
    </w:p>
    <w:p w14:paraId="2F4AE858" w14:textId="77777777" w:rsidR="0066624D" w:rsidRDefault="00836AEF">
      <w:pPr>
        <w:pStyle w:val="ListParagraph"/>
        <w:numPr>
          <w:ilvl w:val="2"/>
          <w:numId w:val="2"/>
        </w:numPr>
        <w:tabs>
          <w:tab w:val="left" w:pos="1846"/>
        </w:tabs>
        <w:jc w:val="both"/>
        <w:rPr>
          <w:sz w:val="24"/>
        </w:rPr>
      </w:pPr>
      <w:r>
        <w:rPr>
          <w:sz w:val="24"/>
        </w:rPr>
        <w:t>The status of compliance with the requirements of this Policy;</w:t>
      </w:r>
      <w:r>
        <w:rPr>
          <w:spacing w:val="-8"/>
          <w:sz w:val="24"/>
        </w:rPr>
        <w:t xml:space="preserve"> </w:t>
      </w:r>
      <w:r>
        <w:rPr>
          <w:sz w:val="24"/>
        </w:rPr>
        <w:t>and</w:t>
      </w:r>
    </w:p>
    <w:p w14:paraId="67C0363B" w14:textId="77777777" w:rsidR="0066624D" w:rsidRDefault="00836AEF">
      <w:pPr>
        <w:pStyle w:val="ListParagraph"/>
        <w:numPr>
          <w:ilvl w:val="2"/>
          <w:numId w:val="2"/>
        </w:numPr>
        <w:tabs>
          <w:tab w:val="left" w:pos="1913"/>
        </w:tabs>
        <w:spacing w:before="1"/>
        <w:ind w:left="1912" w:hanging="353"/>
        <w:jc w:val="both"/>
        <w:rPr>
          <w:sz w:val="24"/>
        </w:rPr>
      </w:pPr>
      <w:r>
        <w:rPr>
          <w:sz w:val="24"/>
        </w:rPr>
        <w:t>The building address, primary use type, and gross floor area;</w:t>
      </w:r>
      <w:r>
        <w:rPr>
          <w:spacing w:val="-4"/>
          <w:sz w:val="24"/>
        </w:rPr>
        <w:t xml:space="preserve"> </w:t>
      </w:r>
      <w:r>
        <w:rPr>
          <w:sz w:val="24"/>
        </w:rPr>
        <w:t>and</w:t>
      </w:r>
    </w:p>
    <w:p w14:paraId="53ED7376" w14:textId="77777777" w:rsidR="0066624D" w:rsidRDefault="00836AEF">
      <w:pPr>
        <w:pStyle w:val="ListParagraph"/>
        <w:numPr>
          <w:ilvl w:val="2"/>
          <w:numId w:val="2"/>
        </w:numPr>
        <w:tabs>
          <w:tab w:val="left" w:pos="2005"/>
        </w:tabs>
        <w:ind w:left="1560" w:right="118" w:firstLine="0"/>
        <w:jc w:val="both"/>
        <w:rPr>
          <w:sz w:val="24"/>
        </w:rPr>
      </w:pPr>
      <w:r>
        <w:rPr>
          <w:sz w:val="24"/>
        </w:rPr>
        <w:t>Annual summary statistics, including site EUI, Weather Normalized Source EUI, annual GHG emissions, and an Energy Performance Score where available; and</w:t>
      </w:r>
    </w:p>
    <w:p w14:paraId="577363A3" w14:textId="77777777" w:rsidR="0066624D" w:rsidRDefault="00836AEF">
      <w:pPr>
        <w:pStyle w:val="ListParagraph"/>
        <w:numPr>
          <w:ilvl w:val="2"/>
          <w:numId w:val="2"/>
        </w:numPr>
        <w:tabs>
          <w:tab w:val="left" w:pos="2033"/>
        </w:tabs>
        <w:ind w:left="1560" w:right="115" w:firstLine="0"/>
        <w:jc w:val="both"/>
        <w:rPr>
          <w:sz w:val="24"/>
        </w:rPr>
      </w:pPr>
      <w:r>
        <w:rPr>
          <w:sz w:val="24"/>
        </w:rPr>
        <w:t>A comparison of the annual summary statistics (as required by Section 5(2)(b)(iii)</w:t>
      </w:r>
      <w:r>
        <w:rPr>
          <w:spacing w:val="-6"/>
          <w:sz w:val="24"/>
        </w:rPr>
        <w:t xml:space="preserve"> </w:t>
      </w:r>
      <w:r>
        <w:rPr>
          <w:sz w:val="24"/>
        </w:rPr>
        <w:t>of</w:t>
      </w:r>
      <w:r>
        <w:rPr>
          <w:spacing w:val="-6"/>
          <w:sz w:val="24"/>
        </w:rPr>
        <w:t xml:space="preserve"> </w:t>
      </w:r>
      <w:r>
        <w:rPr>
          <w:sz w:val="24"/>
        </w:rPr>
        <w:t>this</w:t>
      </w:r>
      <w:r>
        <w:rPr>
          <w:spacing w:val="-4"/>
          <w:sz w:val="24"/>
        </w:rPr>
        <w:t xml:space="preserve"> </w:t>
      </w:r>
      <w:r>
        <w:rPr>
          <w:sz w:val="24"/>
        </w:rPr>
        <w:t>Policy)</w:t>
      </w:r>
      <w:r>
        <w:rPr>
          <w:spacing w:val="-6"/>
          <w:sz w:val="24"/>
        </w:rPr>
        <w:t xml:space="preserve"> </w:t>
      </w:r>
      <w:r>
        <w:rPr>
          <w:sz w:val="24"/>
        </w:rPr>
        <w:t>across</w:t>
      </w:r>
      <w:r>
        <w:rPr>
          <w:spacing w:val="-5"/>
          <w:sz w:val="24"/>
        </w:rPr>
        <w:t xml:space="preserve"> </w:t>
      </w:r>
      <w:r>
        <w:rPr>
          <w:sz w:val="24"/>
        </w:rPr>
        <w:t>calendar</w:t>
      </w:r>
      <w:r>
        <w:rPr>
          <w:spacing w:val="-6"/>
          <w:sz w:val="24"/>
        </w:rPr>
        <w:t xml:space="preserve"> </w:t>
      </w:r>
      <w:r>
        <w:rPr>
          <w:sz w:val="24"/>
        </w:rPr>
        <w:t>years</w:t>
      </w:r>
      <w:r>
        <w:rPr>
          <w:spacing w:val="-4"/>
          <w:sz w:val="24"/>
        </w:rPr>
        <w:t xml:space="preserve"> </w:t>
      </w:r>
      <w:r>
        <w:rPr>
          <w:sz w:val="24"/>
        </w:rPr>
        <w:t>for</w:t>
      </w:r>
      <w:r>
        <w:rPr>
          <w:spacing w:val="-3"/>
          <w:sz w:val="24"/>
        </w:rPr>
        <w:t xml:space="preserve"> </w:t>
      </w:r>
      <w:r>
        <w:rPr>
          <w:sz w:val="24"/>
        </w:rPr>
        <w:t>all</w:t>
      </w:r>
      <w:r>
        <w:rPr>
          <w:spacing w:val="-4"/>
          <w:sz w:val="24"/>
        </w:rPr>
        <w:t xml:space="preserve"> </w:t>
      </w:r>
      <w:r>
        <w:rPr>
          <w:sz w:val="24"/>
        </w:rPr>
        <w:t>years</w:t>
      </w:r>
      <w:r>
        <w:rPr>
          <w:spacing w:val="-4"/>
          <w:sz w:val="24"/>
        </w:rPr>
        <w:t xml:space="preserve"> </w:t>
      </w:r>
      <w:r>
        <w:rPr>
          <w:sz w:val="24"/>
        </w:rPr>
        <w:t>since</w:t>
      </w:r>
      <w:r>
        <w:rPr>
          <w:spacing w:val="-6"/>
          <w:sz w:val="24"/>
        </w:rPr>
        <w:t xml:space="preserve"> </w:t>
      </w:r>
      <w:r>
        <w:rPr>
          <w:sz w:val="24"/>
        </w:rPr>
        <w:t>annual</w:t>
      </w:r>
      <w:r>
        <w:rPr>
          <w:spacing w:val="-4"/>
          <w:sz w:val="24"/>
        </w:rPr>
        <w:t xml:space="preserve"> </w:t>
      </w:r>
      <w:r>
        <w:rPr>
          <w:sz w:val="24"/>
        </w:rPr>
        <w:t>reporting under this Policy has been required for said</w:t>
      </w:r>
      <w:r>
        <w:rPr>
          <w:spacing w:val="-3"/>
          <w:sz w:val="24"/>
        </w:rPr>
        <w:t xml:space="preserve"> </w:t>
      </w:r>
      <w:r>
        <w:rPr>
          <w:sz w:val="24"/>
        </w:rPr>
        <w:t>building.</w:t>
      </w:r>
    </w:p>
    <w:p w14:paraId="00C24207" w14:textId="77777777" w:rsidR="0066624D" w:rsidRDefault="0066624D">
      <w:pPr>
        <w:pStyle w:val="BodyText"/>
      </w:pPr>
    </w:p>
    <w:p w14:paraId="376BC9E8" w14:textId="77777777" w:rsidR="0066624D" w:rsidRDefault="00836AEF">
      <w:pPr>
        <w:pStyle w:val="Heading1"/>
      </w:pPr>
      <w:r>
        <w:t>§5. MAINTENANCE OF RECORDS</w:t>
      </w:r>
    </w:p>
    <w:p w14:paraId="3D2D8813" w14:textId="77777777" w:rsidR="0066624D" w:rsidRDefault="00836AEF">
      <w:pPr>
        <w:pStyle w:val="BodyText"/>
        <w:ind w:left="119" w:right="118"/>
        <w:jc w:val="both"/>
      </w:pPr>
      <w:r>
        <w:t>The</w:t>
      </w:r>
      <w:r>
        <w:rPr>
          <w:spacing w:val="-17"/>
        </w:rPr>
        <w:t xml:space="preserve"> </w:t>
      </w:r>
      <w:r>
        <w:t>Town</w:t>
      </w:r>
      <w:r>
        <w:rPr>
          <w:spacing w:val="-16"/>
        </w:rPr>
        <w:t xml:space="preserve"> </w:t>
      </w:r>
      <w:r>
        <w:t>Manager</w:t>
      </w:r>
      <w:r>
        <w:rPr>
          <w:spacing w:val="-17"/>
        </w:rPr>
        <w:t xml:space="preserve"> </w:t>
      </w:r>
      <w:r>
        <w:t>shall</w:t>
      </w:r>
      <w:r>
        <w:rPr>
          <w:spacing w:val="-13"/>
        </w:rPr>
        <w:t xml:space="preserve"> </w:t>
      </w:r>
      <w:r>
        <w:t>maintain</w:t>
      </w:r>
      <w:r>
        <w:rPr>
          <w:spacing w:val="-16"/>
        </w:rPr>
        <w:t xml:space="preserve"> </w:t>
      </w:r>
      <w:r>
        <w:t>records</w:t>
      </w:r>
      <w:r>
        <w:rPr>
          <w:spacing w:val="-13"/>
        </w:rPr>
        <w:t xml:space="preserve"> </w:t>
      </w:r>
      <w:r>
        <w:t>as</w:t>
      </w:r>
      <w:r>
        <w:rPr>
          <w:spacing w:val="-16"/>
        </w:rPr>
        <w:t xml:space="preserve"> </w:t>
      </w:r>
      <w:r>
        <w:t>necessary</w:t>
      </w:r>
      <w:r>
        <w:rPr>
          <w:spacing w:val="-16"/>
        </w:rPr>
        <w:t xml:space="preserve"> </w:t>
      </w:r>
      <w:r>
        <w:t>for</w:t>
      </w:r>
      <w:r>
        <w:rPr>
          <w:spacing w:val="-14"/>
        </w:rPr>
        <w:t xml:space="preserve"> </w:t>
      </w:r>
      <w:r>
        <w:t>carrying</w:t>
      </w:r>
      <w:r>
        <w:rPr>
          <w:spacing w:val="-16"/>
        </w:rPr>
        <w:t xml:space="preserve"> </w:t>
      </w:r>
      <w:r>
        <w:t>out</w:t>
      </w:r>
      <w:r>
        <w:rPr>
          <w:spacing w:val="-15"/>
        </w:rPr>
        <w:t xml:space="preserve"> </w:t>
      </w:r>
      <w:r>
        <w:t>the</w:t>
      </w:r>
      <w:r>
        <w:rPr>
          <w:spacing w:val="-17"/>
        </w:rPr>
        <w:t xml:space="preserve"> </w:t>
      </w:r>
      <w:r>
        <w:t>purposes</w:t>
      </w:r>
      <w:r>
        <w:rPr>
          <w:spacing w:val="-16"/>
        </w:rPr>
        <w:t xml:space="preserve"> </w:t>
      </w:r>
      <w:r>
        <w:t>of</w:t>
      </w:r>
      <w:r>
        <w:rPr>
          <w:spacing w:val="-17"/>
        </w:rPr>
        <w:t xml:space="preserve"> </w:t>
      </w:r>
      <w:r>
        <w:t>this</w:t>
      </w:r>
      <w:r>
        <w:rPr>
          <w:spacing w:val="-16"/>
        </w:rPr>
        <w:t xml:space="preserve"> </w:t>
      </w:r>
      <w:r>
        <w:t>Policy, including but not limited to Energy bills and other documents received from tenants and/or Utilities. Such records shall be preserved by the Town Clerk for a period of three (3)</w:t>
      </w:r>
      <w:r>
        <w:rPr>
          <w:spacing w:val="-14"/>
        </w:rPr>
        <w:t xml:space="preserve"> </w:t>
      </w:r>
      <w:r>
        <w:t>years.</w:t>
      </w:r>
    </w:p>
    <w:p w14:paraId="16CA0816" w14:textId="77777777" w:rsidR="0066624D" w:rsidRDefault="0066624D">
      <w:pPr>
        <w:pStyle w:val="BodyText"/>
      </w:pPr>
    </w:p>
    <w:p w14:paraId="5FA4FCE5" w14:textId="77777777" w:rsidR="0066624D" w:rsidRDefault="00836AEF">
      <w:pPr>
        <w:pStyle w:val="Heading1"/>
        <w:ind w:left="119"/>
      </w:pPr>
      <w:r>
        <w:t>§6. ENFORCEMENT AND ADMINISTRATION</w:t>
      </w:r>
    </w:p>
    <w:p w14:paraId="5786D347" w14:textId="77777777" w:rsidR="0066624D" w:rsidRDefault="00836AEF">
      <w:pPr>
        <w:pStyle w:val="ListParagraph"/>
        <w:numPr>
          <w:ilvl w:val="0"/>
          <w:numId w:val="1"/>
        </w:numPr>
        <w:tabs>
          <w:tab w:val="left" w:pos="447"/>
        </w:tabs>
        <w:ind w:hanging="328"/>
        <w:jc w:val="both"/>
        <w:rPr>
          <w:sz w:val="24"/>
        </w:rPr>
      </w:pPr>
      <w:r>
        <w:rPr>
          <w:sz w:val="24"/>
        </w:rPr>
        <w:t>The</w:t>
      </w:r>
      <w:r>
        <w:rPr>
          <w:spacing w:val="-14"/>
          <w:sz w:val="24"/>
        </w:rPr>
        <w:t xml:space="preserve"> </w:t>
      </w:r>
      <w:r>
        <w:rPr>
          <w:sz w:val="24"/>
        </w:rPr>
        <w:t>Town</w:t>
      </w:r>
      <w:r>
        <w:rPr>
          <w:spacing w:val="-13"/>
          <w:sz w:val="24"/>
        </w:rPr>
        <w:t xml:space="preserve"> </w:t>
      </w:r>
      <w:r>
        <w:rPr>
          <w:sz w:val="24"/>
        </w:rPr>
        <w:t>Manager</w:t>
      </w:r>
      <w:r>
        <w:rPr>
          <w:spacing w:val="-14"/>
          <w:sz w:val="24"/>
        </w:rPr>
        <w:t xml:space="preserve"> </w:t>
      </w:r>
      <w:r>
        <w:rPr>
          <w:sz w:val="24"/>
        </w:rPr>
        <w:t>or</w:t>
      </w:r>
      <w:r>
        <w:rPr>
          <w:spacing w:val="-14"/>
          <w:sz w:val="24"/>
        </w:rPr>
        <w:t xml:space="preserve"> </w:t>
      </w:r>
      <w:r>
        <w:rPr>
          <w:sz w:val="24"/>
        </w:rPr>
        <w:t>his</w:t>
      </w:r>
      <w:r>
        <w:rPr>
          <w:spacing w:val="-12"/>
          <w:sz w:val="24"/>
        </w:rPr>
        <w:t xml:space="preserve"> </w:t>
      </w:r>
      <w:r>
        <w:rPr>
          <w:sz w:val="24"/>
        </w:rPr>
        <w:t>or</w:t>
      </w:r>
      <w:r>
        <w:rPr>
          <w:spacing w:val="-14"/>
          <w:sz w:val="24"/>
        </w:rPr>
        <w:t xml:space="preserve"> </w:t>
      </w:r>
      <w:r>
        <w:rPr>
          <w:sz w:val="24"/>
        </w:rPr>
        <w:t>her</w:t>
      </w:r>
      <w:r>
        <w:rPr>
          <w:spacing w:val="-14"/>
          <w:sz w:val="24"/>
        </w:rPr>
        <w:t xml:space="preserve"> </w:t>
      </w:r>
      <w:r>
        <w:rPr>
          <w:sz w:val="24"/>
        </w:rPr>
        <w:t>designee</w:t>
      </w:r>
      <w:r>
        <w:rPr>
          <w:spacing w:val="-14"/>
          <w:sz w:val="24"/>
        </w:rPr>
        <w:t xml:space="preserve"> </w:t>
      </w:r>
      <w:r>
        <w:rPr>
          <w:sz w:val="24"/>
        </w:rPr>
        <w:t>shall</w:t>
      </w:r>
      <w:r>
        <w:rPr>
          <w:spacing w:val="-11"/>
          <w:sz w:val="24"/>
        </w:rPr>
        <w:t xml:space="preserve"> </w:t>
      </w:r>
      <w:r>
        <w:rPr>
          <w:sz w:val="24"/>
        </w:rPr>
        <w:t>be</w:t>
      </w:r>
      <w:r>
        <w:rPr>
          <w:spacing w:val="-13"/>
          <w:sz w:val="24"/>
        </w:rPr>
        <w:t xml:space="preserve"> </w:t>
      </w:r>
      <w:r>
        <w:rPr>
          <w:sz w:val="24"/>
        </w:rPr>
        <w:t>the</w:t>
      </w:r>
      <w:r>
        <w:rPr>
          <w:spacing w:val="-14"/>
          <w:sz w:val="24"/>
        </w:rPr>
        <w:t xml:space="preserve"> </w:t>
      </w:r>
      <w:r>
        <w:rPr>
          <w:sz w:val="24"/>
        </w:rPr>
        <w:t>Chief</w:t>
      </w:r>
      <w:r>
        <w:rPr>
          <w:spacing w:val="-14"/>
          <w:sz w:val="24"/>
        </w:rPr>
        <w:t xml:space="preserve"> </w:t>
      </w:r>
      <w:r>
        <w:rPr>
          <w:sz w:val="24"/>
        </w:rPr>
        <w:t>Enforcement</w:t>
      </w:r>
      <w:r>
        <w:rPr>
          <w:spacing w:val="-11"/>
          <w:sz w:val="24"/>
        </w:rPr>
        <w:t xml:space="preserve"> </w:t>
      </w:r>
      <w:r>
        <w:rPr>
          <w:sz w:val="24"/>
        </w:rPr>
        <w:t>Officer</w:t>
      </w:r>
      <w:r>
        <w:rPr>
          <w:spacing w:val="-14"/>
          <w:sz w:val="24"/>
        </w:rPr>
        <w:t xml:space="preserve"> </w:t>
      </w:r>
      <w:r>
        <w:rPr>
          <w:sz w:val="24"/>
        </w:rPr>
        <w:t>of</w:t>
      </w:r>
      <w:r>
        <w:rPr>
          <w:spacing w:val="-13"/>
          <w:sz w:val="24"/>
        </w:rPr>
        <w:t xml:space="preserve"> </w:t>
      </w:r>
      <w:r>
        <w:rPr>
          <w:sz w:val="24"/>
        </w:rPr>
        <w:t>this</w:t>
      </w:r>
      <w:r>
        <w:rPr>
          <w:spacing w:val="-13"/>
          <w:sz w:val="24"/>
        </w:rPr>
        <w:t xml:space="preserve"> </w:t>
      </w:r>
      <w:r>
        <w:rPr>
          <w:sz w:val="24"/>
        </w:rPr>
        <w:t>Policy.</w:t>
      </w:r>
    </w:p>
    <w:p w14:paraId="6A642ED2" w14:textId="77777777" w:rsidR="0066624D" w:rsidRDefault="0066624D">
      <w:pPr>
        <w:jc w:val="both"/>
        <w:rPr>
          <w:sz w:val="24"/>
        </w:rPr>
        <w:sectPr w:rsidR="0066624D">
          <w:pgSz w:w="12240" w:h="15840"/>
          <w:pgMar w:top="1360" w:right="1320" w:bottom="1220" w:left="1320" w:header="0" w:footer="1034" w:gutter="0"/>
          <w:cols w:space="720"/>
        </w:sectPr>
      </w:pPr>
    </w:p>
    <w:p w14:paraId="20651AF0" w14:textId="77777777" w:rsidR="0066624D" w:rsidRDefault="00836AEF">
      <w:pPr>
        <w:pStyle w:val="ListParagraph"/>
        <w:numPr>
          <w:ilvl w:val="0"/>
          <w:numId w:val="1"/>
        </w:numPr>
        <w:tabs>
          <w:tab w:val="left" w:pos="476"/>
        </w:tabs>
        <w:spacing w:before="79"/>
        <w:ind w:left="120" w:right="117" w:firstLine="0"/>
        <w:jc w:val="both"/>
        <w:rPr>
          <w:sz w:val="24"/>
        </w:rPr>
      </w:pPr>
      <w:r>
        <w:rPr>
          <w:sz w:val="24"/>
        </w:rPr>
        <w:lastRenderedPageBreak/>
        <w:t>The Chief Enforcement Officer of this Policy may promulgate regulations necessary for the administration of the requirements of this</w:t>
      </w:r>
      <w:r>
        <w:rPr>
          <w:spacing w:val="-4"/>
          <w:sz w:val="24"/>
        </w:rPr>
        <w:t xml:space="preserve"> </w:t>
      </w:r>
      <w:r>
        <w:rPr>
          <w:sz w:val="24"/>
        </w:rPr>
        <w:t>Policy.</w:t>
      </w:r>
    </w:p>
    <w:p w14:paraId="61C72B33" w14:textId="77777777" w:rsidR="0066624D" w:rsidRDefault="0066624D">
      <w:pPr>
        <w:pStyle w:val="BodyText"/>
      </w:pPr>
    </w:p>
    <w:p w14:paraId="30D11E57" w14:textId="77777777" w:rsidR="0066624D" w:rsidRDefault="00836AEF">
      <w:pPr>
        <w:pStyle w:val="ListParagraph"/>
        <w:numPr>
          <w:ilvl w:val="0"/>
          <w:numId w:val="1"/>
        </w:numPr>
        <w:tabs>
          <w:tab w:val="left" w:pos="478"/>
        </w:tabs>
        <w:ind w:left="119" w:right="117" w:firstLine="0"/>
        <w:jc w:val="both"/>
        <w:rPr>
          <w:sz w:val="24"/>
        </w:rPr>
      </w:pPr>
      <w:r>
        <w:rPr>
          <w:sz w:val="24"/>
        </w:rPr>
        <w:t>Within thirty days after each anniversary date of the effective date of this Policy, the Chief Enforcement</w:t>
      </w:r>
      <w:r>
        <w:rPr>
          <w:spacing w:val="-13"/>
          <w:sz w:val="24"/>
        </w:rPr>
        <w:t xml:space="preserve"> </w:t>
      </w:r>
      <w:r>
        <w:rPr>
          <w:sz w:val="24"/>
        </w:rPr>
        <w:t>Officer</w:t>
      </w:r>
      <w:r>
        <w:rPr>
          <w:spacing w:val="-13"/>
          <w:sz w:val="24"/>
        </w:rPr>
        <w:t xml:space="preserve"> </w:t>
      </w:r>
      <w:r>
        <w:rPr>
          <w:sz w:val="24"/>
        </w:rPr>
        <w:t>shall</w:t>
      </w:r>
      <w:r>
        <w:rPr>
          <w:spacing w:val="-13"/>
          <w:sz w:val="24"/>
        </w:rPr>
        <w:t xml:space="preserve"> </w:t>
      </w:r>
      <w:r>
        <w:rPr>
          <w:sz w:val="24"/>
        </w:rPr>
        <w:t>submit</w:t>
      </w:r>
      <w:r>
        <w:rPr>
          <w:spacing w:val="-12"/>
          <w:sz w:val="24"/>
        </w:rPr>
        <w:t xml:space="preserve"> </w:t>
      </w:r>
      <w:r>
        <w:rPr>
          <w:sz w:val="24"/>
        </w:rPr>
        <w:t>a</w:t>
      </w:r>
      <w:r>
        <w:rPr>
          <w:spacing w:val="-14"/>
          <w:sz w:val="24"/>
        </w:rPr>
        <w:t xml:space="preserve"> </w:t>
      </w:r>
      <w:r>
        <w:rPr>
          <w:sz w:val="24"/>
        </w:rPr>
        <w:t>report</w:t>
      </w:r>
      <w:r>
        <w:rPr>
          <w:spacing w:val="-12"/>
          <w:sz w:val="24"/>
        </w:rPr>
        <w:t xml:space="preserve"> </w:t>
      </w:r>
      <w:r>
        <w:rPr>
          <w:sz w:val="24"/>
        </w:rPr>
        <w:t>to</w:t>
      </w:r>
      <w:r>
        <w:rPr>
          <w:spacing w:val="-13"/>
          <w:sz w:val="24"/>
        </w:rPr>
        <w:t xml:space="preserve"> </w:t>
      </w:r>
      <w:r>
        <w:rPr>
          <w:sz w:val="24"/>
        </w:rPr>
        <w:t>the</w:t>
      </w:r>
      <w:r>
        <w:rPr>
          <w:spacing w:val="-11"/>
          <w:sz w:val="24"/>
        </w:rPr>
        <w:t xml:space="preserve"> </w:t>
      </w:r>
      <w:r>
        <w:rPr>
          <w:sz w:val="24"/>
        </w:rPr>
        <w:t>Town</w:t>
      </w:r>
      <w:r>
        <w:rPr>
          <w:spacing w:val="-13"/>
          <w:sz w:val="24"/>
        </w:rPr>
        <w:t xml:space="preserve"> </w:t>
      </w:r>
      <w:r>
        <w:rPr>
          <w:sz w:val="24"/>
        </w:rPr>
        <w:t>Board</w:t>
      </w:r>
      <w:r>
        <w:rPr>
          <w:spacing w:val="-12"/>
          <w:sz w:val="24"/>
        </w:rPr>
        <w:t xml:space="preserve"> </w:t>
      </w:r>
      <w:r>
        <w:rPr>
          <w:sz w:val="24"/>
        </w:rPr>
        <w:t>including</w:t>
      </w:r>
      <w:r>
        <w:rPr>
          <w:spacing w:val="-12"/>
          <w:sz w:val="24"/>
        </w:rPr>
        <w:t xml:space="preserve"> </w:t>
      </w:r>
      <w:r>
        <w:rPr>
          <w:sz w:val="24"/>
        </w:rPr>
        <w:t>but</w:t>
      </w:r>
      <w:r>
        <w:rPr>
          <w:spacing w:val="-13"/>
          <w:sz w:val="24"/>
        </w:rPr>
        <w:t xml:space="preserve"> </w:t>
      </w:r>
      <w:r>
        <w:rPr>
          <w:sz w:val="24"/>
        </w:rPr>
        <w:t>not</w:t>
      </w:r>
      <w:r>
        <w:rPr>
          <w:spacing w:val="-12"/>
          <w:sz w:val="24"/>
        </w:rPr>
        <w:t xml:space="preserve"> </w:t>
      </w:r>
      <w:r>
        <w:rPr>
          <w:sz w:val="24"/>
        </w:rPr>
        <w:t>limited</w:t>
      </w:r>
      <w:r>
        <w:rPr>
          <w:spacing w:val="-13"/>
          <w:sz w:val="24"/>
        </w:rPr>
        <w:t xml:space="preserve"> </w:t>
      </w:r>
      <w:r>
        <w:rPr>
          <w:sz w:val="24"/>
        </w:rPr>
        <w:t>to</w:t>
      </w:r>
      <w:r>
        <w:rPr>
          <w:spacing w:val="-12"/>
          <w:sz w:val="24"/>
        </w:rPr>
        <w:t xml:space="preserve"> </w:t>
      </w:r>
      <w:r>
        <w:rPr>
          <w:sz w:val="24"/>
        </w:rPr>
        <w:t>summary statistics on Energy consumption for Covered Municipal Buildings derived from aggregation of Benchmarking Information, a list of all Covered Municipal Buildings identifying each Covered Municipal Building that the Town Manager determined to be exempt from the benchmarking requirement and the reason for the exemption, and the status of compliance with the</w:t>
      </w:r>
      <w:r>
        <w:rPr>
          <w:spacing w:val="-41"/>
          <w:sz w:val="24"/>
        </w:rPr>
        <w:t xml:space="preserve"> </w:t>
      </w:r>
      <w:r>
        <w:rPr>
          <w:sz w:val="24"/>
        </w:rPr>
        <w:t>requirements of this</w:t>
      </w:r>
      <w:r>
        <w:rPr>
          <w:spacing w:val="-2"/>
          <w:sz w:val="24"/>
        </w:rPr>
        <w:t xml:space="preserve"> </w:t>
      </w:r>
      <w:r>
        <w:rPr>
          <w:sz w:val="24"/>
        </w:rPr>
        <w:t>Policy.</w:t>
      </w:r>
    </w:p>
    <w:p w14:paraId="6185CF23" w14:textId="77777777" w:rsidR="0066624D" w:rsidRDefault="0066624D">
      <w:pPr>
        <w:pStyle w:val="BodyText"/>
      </w:pPr>
    </w:p>
    <w:p w14:paraId="65686241" w14:textId="77777777" w:rsidR="0066624D" w:rsidRDefault="00836AEF">
      <w:pPr>
        <w:pStyle w:val="Heading1"/>
        <w:jc w:val="both"/>
      </w:pPr>
      <w:r>
        <w:t>§7. EFFECTIVE DATE</w:t>
      </w:r>
    </w:p>
    <w:p w14:paraId="708E5112" w14:textId="77777777" w:rsidR="0066624D" w:rsidRDefault="00836AEF">
      <w:pPr>
        <w:pStyle w:val="BodyText"/>
        <w:ind w:left="120"/>
        <w:jc w:val="both"/>
      </w:pPr>
      <w:r>
        <w:t>This policy shall be effective immediately upon passage.</w:t>
      </w:r>
    </w:p>
    <w:p w14:paraId="1EC90A3D" w14:textId="77777777" w:rsidR="0066624D" w:rsidRDefault="0066624D">
      <w:pPr>
        <w:pStyle w:val="BodyText"/>
      </w:pPr>
    </w:p>
    <w:p w14:paraId="219A92D0" w14:textId="77777777" w:rsidR="0066624D" w:rsidRDefault="00836AEF">
      <w:pPr>
        <w:pStyle w:val="Heading1"/>
        <w:jc w:val="both"/>
      </w:pPr>
      <w:r>
        <w:t>§8.</w:t>
      </w:r>
      <w:r>
        <w:rPr>
          <w:spacing w:val="57"/>
        </w:rPr>
        <w:t xml:space="preserve"> </w:t>
      </w:r>
      <w:r>
        <w:t>SEVERABILITY</w:t>
      </w:r>
    </w:p>
    <w:p w14:paraId="41FF086F" w14:textId="4D1CBFA1" w:rsidR="0066624D" w:rsidRDefault="00836AEF">
      <w:pPr>
        <w:pStyle w:val="BodyText"/>
        <w:ind w:left="120" w:right="118"/>
        <w:jc w:val="both"/>
      </w:pPr>
      <w:r>
        <w:t>The invalidity or unenforceability of any section, subsection, paragraph, sentence, clause, provision,</w:t>
      </w:r>
      <w:r>
        <w:rPr>
          <w:spacing w:val="-11"/>
        </w:rPr>
        <w:t xml:space="preserve"> </w:t>
      </w:r>
      <w:r>
        <w:t>or</w:t>
      </w:r>
      <w:r>
        <w:rPr>
          <w:spacing w:val="-12"/>
        </w:rPr>
        <w:t xml:space="preserve"> </w:t>
      </w:r>
      <w:r>
        <w:t>phrase</w:t>
      </w:r>
      <w:r>
        <w:rPr>
          <w:spacing w:val="-11"/>
        </w:rPr>
        <w:t xml:space="preserve"> </w:t>
      </w:r>
      <w:r>
        <w:t>of</w:t>
      </w:r>
      <w:r>
        <w:rPr>
          <w:spacing w:val="-12"/>
        </w:rPr>
        <w:t xml:space="preserve"> </w:t>
      </w:r>
      <w:r>
        <w:t>the</w:t>
      </w:r>
      <w:r>
        <w:rPr>
          <w:spacing w:val="-12"/>
        </w:rPr>
        <w:t xml:space="preserve"> </w:t>
      </w:r>
      <w:proofErr w:type="gramStart"/>
      <w:r>
        <w:t>aforementioned</w:t>
      </w:r>
      <w:r>
        <w:rPr>
          <w:spacing w:val="-10"/>
        </w:rPr>
        <w:t xml:space="preserve"> </w:t>
      </w:r>
      <w:r>
        <w:t>sections</w:t>
      </w:r>
      <w:proofErr w:type="gramEnd"/>
      <w:r>
        <w:t>,</w:t>
      </w:r>
      <w:r>
        <w:rPr>
          <w:spacing w:val="-11"/>
        </w:rPr>
        <w:t xml:space="preserve"> </w:t>
      </w:r>
      <w:r>
        <w:t>as</w:t>
      </w:r>
      <w:r>
        <w:rPr>
          <w:spacing w:val="-11"/>
        </w:rPr>
        <w:t xml:space="preserve"> </w:t>
      </w:r>
      <w:r>
        <w:t>declared</w:t>
      </w:r>
      <w:r>
        <w:rPr>
          <w:spacing w:val="-10"/>
        </w:rPr>
        <w:t xml:space="preserve"> </w:t>
      </w:r>
      <w:r>
        <w:t>by</w:t>
      </w:r>
      <w:r>
        <w:rPr>
          <w:spacing w:val="-9"/>
        </w:rPr>
        <w:t xml:space="preserve"> </w:t>
      </w:r>
      <w:r>
        <w:t>the</w:t>
      </w:r>
      <w:r>
        <w:rPr>
          <w:spacing w:val="-12"/>
        </w:rPr>
        <w:t xml:space="preserve"> </w:t>
      </w:r>
      <w:r>
        <w:t>valid</w:t>
      </w:r>
      <w:r>
        <w:rPr>
          <w:spacing w:val="-8"/>
        </w:rPr>
        <w:t xml:space="preserve"> </w:t>
      </w:r>
      <w:r>
        <w:t>judgment</w:t>
      </w:r>
      <w:r>
        <w:rPr>
          <w:spacing w:val="-11"/>
        </w:rPr>
        <w:t xml:space="preserve"> </w:t>
      </w:r>
      <w:r>
        <w:t>of</w:t>
      </w:r>
      <w:r>
        <w:rPr>
          <w:spacing w:val="-11"/>
        </w:rPr>
        <w:t xml:space="preserve"> </w:t>
      </w:r>
      <w:r>
        <w:t>any</w:t>
      </w:r>
      <w:r>
        <w:rPr>
          <w:spacing w:val="-9"/>
        </w:rPr>
        <w:t xml:space="preserve"> </w:t>
      </w:r>
      <w:r>
        <w:t>court of competent jurisdiction to be unconstitutional, shall not affect the validity or enforceability of any</w:t>
      </w:r>
      <w:r>
        <w:rPr>
          <w:spacing w:val="-14"/>
        </w:rPr>
        <w:t xml:space="preserve"> </w:t>
      </w:r>
      <w:r>
        <w:t>other</w:t>
      </w:r>
      <w:r>
        <w:rPr>
          <w:spacing w:val="-14"/>
        </w:rPr>
        <w:t xml:space="preserve"> </w:t>
      </w:r>
      <w:r>
        <w:t>section,</w:t>
      </w:r>
      <w:r>
        <w:rPr>
          <w:spacing w:val="-13"/>
        </w:rPr>
        <w:t xml:space="preserve"> </w:t>
      </w:r>
      <w:r>
        <w:t>subsection,</w:t>
      </w:r>
      <w:r>
        <w:rPr>
          <w:spacing w:val="-14"/>
        </w:rPr>
        <w:t xml:space="preserve"> </w:t>
      </w:r>
      <w:r>
        <w:t>paragraph,</w:t>
      </w:r>
      <w:r>
        <w:rPr>
          <w:spacing w:val="-13"/>
        </w:rPr>
        <w:t xml:space="preserve"> </w:t>
      </w:r>
      <w:r>
        <w:t>sentence,</w:t>
      </w:r>
      <w:r>
        <w:rPr>
          <w:spacing w:val="-9"/>
        </w:rPr>
        <w:t xml:space="preserve"> </w:t>
      </w:r>
      <w:r>
        <w:t>clause,</w:t>
      </w:r>
      <w:r>
        <w:rPr>
          <w:spacing w:val="-14"/>
        </w:rPr>
        <w:t xml:space="preserve"> </w:t>
      </w:r>
      <w:r>
        <w:t>provision,</w:t>
      </w:r>
      <w:r>
        <w:rPr>
          <w:spacing w:val="-13"/>
        </w:rPr>
        <w:t xml:space="preserve"> </w:t>
      </w:r>
      <w:r>
        <w:t>or</w:t>
      </w:r>
      <w:r>
        <w:rPr>
          <w:spacing w:val="-12"/>
        </w:rPr>
        <w:t xml:space="preserve"> </w:t>
      </w:r>
      <w:r>
        <w:t>phrase,</w:t>
      </w:r>
      <w:r>
        <w:rPr>
          <w:spacing w:val="-13"/>
        </w:rPr>
        <w:t xml:space="preserve"> </w:t>
      </w:r>
      <w:r>
        <w:t>which</w:t>
      </w:r>
      <w:r>
        <w:rPr>
          <w:spacing w:val="-14"/>
        </w:rPr>
        <w:t xml:space="preserve"> </w:t>
      </w:r>
      <w:r>
        <w:t>shall</w:t>
      </w:r>
      <w:r>
        <w:rPr>
          <w:spacing w:val="-13"/>
        </w:rPr>
        <w:t xml:space="preserve"> </w:t>
      </w:r>
      <w:r>
        <w:t>remain in full force and effect.</w:t>
      </w:r>
    </w:p>
    <w:p w14:paraId="62F0669E" w14:textId="3B9DA127" w:rsidR="00C94CC3" w:rsidRDefault="00C94CC3">
      <w:pPr>
        <w:pStyle w:val="BodyText"/>
        <w:ind w:left="120" w:right="118"/>
        <w:jc w:val="both"/>
      </w:pPr>
    </w:p>
    <w:p w14:paraId="3F490187" w14:textId="77777777" w:rsidR="00C94CC3" w:rsidRDefault="00C94CC3" w:rsidP="00C94CC3">
      <w:pPr>
        <w:pStyle w:val="BodyText"/>
        <w:ind w:right="860"/>
        <w:rPr>
          <w:sz w:val="20"/>
        </w:rPr>
      </w:pPr>
      <w:r>
        <w:rPr>
          <w:sz w:val="20"/>
        </w:rPr>
        <w:t>Adopted:  December 21, 2020 by Resolution No. 2020-304</w:t>
      </w:r>
    </w:p>
    <w:p w14:paraId="293C2245" w14:textId="77777777" w:rsidR="00C94CC3" w:rsidRDefault="00C94CC3">
      <w:pPr>
        <w:pStyle w:val="BodyText"/>
        <w:ind w:left="120" w:right="118"/>
        <w:jc w:val="both"/>
      </w:pPr>
    </w:p>
    <w:sectPr w:rsidR="00C94CC3">
      <w:pgSz w:w="12240" w:h="15840"/>
      <w:pgMar w:top="1360" w:right="1320" w:bottom="1220" w:left="1320" w:header="0" w:footer="10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A88D10" w14:textId="77777777" w:rsidR="007E0FA8" w:rsidRDefault="00836AEF">
      <w:r>
        <w:separator/>
      </w:r>
    </w:p>
  </w:endnote>
  <w:endnote w:type="continuationSeparator" w:id="0">
    <w:p w14:paraId="676B7381" w14:textId="77777777" w:rsidR="007E0FA8" w:rsidRDefault="00836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BA7E9" w14:textId="3AF6509A" w:rsidR="0066624D" w:rsidRDefault="00CB30F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EEDAE1D" wp14:editId="4CA39775">
              <wp:simplePos x="0" y="0"/>
              <wp:positionH relativeFrom="page">
                <wp:posOffset>3813175</wp:posOffset>
              </wp:positionH>
              <wp:positionV relativeFrom="page">
                <wp:posOffset>9262110</wp:posOffset>
              </wp:positionV>
              <wp:extent cx="14668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D5857" w14:textId="77777777" w:rsidR="0066624D" w:rsidRDefault="00836AEF">
                          <w:pPr>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EDAE1D" id="_x0000_t202" coordsize="21600,21600" o:spt="202" path="m,l,21600r21600,l21600,xe">
              <v:stroke joinstyle="miter"/>
              <v:path gradientshapeok="t" o:connecttype="rect"/>
            </v:shapetype>
            <v:shape id="Text Box 1" o:spid="_x0000_s1026" type="#_x0000_t202" style="position:absolute;margin-left:300.25pt;margin-top:729.3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" filled="f" stroked="f">
              <v:textbox inset="0,0,0,0">
                <w:txbxContent>
                  <w:p w14:paraId="3F3D5857" w14:textId="77777777" w:rsidR="0066624D" w:rsidRDefault="00836AEF">
                    <w:pPr>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3601D" w14:textId="77777777" w:rsidR="007E0FA8" w:rsidRDefault="00836AEF">
      <w:r>
        <w:separator/>
      </w:r>
    </w:p>
  </w:footnote>
  <w:footnote w:type="continuationSeparator" w:id="0">
    <w:p w14:paraId="375CDDC1" w14:textId="77777777" w:rsidR="007E0FA8" w:rsidRDefault="00836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87A63"/>
    <w:multiLevelType w:val="hybridMultilevel"/>
    <w:tmpl w:val="EADA2A2C"/>
    <w:lvl w:ilvl="0" w:tplc="309A126E">
      <w:start w:val="1"/>
      <w:numFmt w:val="upperLetter"/>
      <w:lvlText w:val="(%1)"/>
      <w:lvlJc w:val="left"/>
      <w:pPr>
        <w:ind w:left="120" w:hanging="392"/>
        <w:jc w:val="left"/>
      </w:pPr>
      <w:rPr>
        <w:rFonts w:ascii="Times New Roman" w:eastAsia="Times New Roman" w:hAnsi="Times New Roman" w:cs="Times New Roman" w:hint="default"/>
        <w:spacing w:val="-1"/>
        <w:w w:val="100"/>
        <w:sz w:val="24"/>
        <w:szCs w:val="24"/>
        <w:lang w:val="en-US" w:eastAsia="en-US" w:bidi="ar-SA"/>
      </w:rPr>
    </w:lvl>
    <w:lvl w:ilvl="1" w:tplc="8B3C1476">
      <w:start w:val="1"/>
      <w:numFmt w:val="decimal"/>
      <w:lvlText w:val="(%2)"/>
      <w:lvlJc w:val="left"/>
      <w:pPr>
        <w:ind w:left="120" w:hanging="339"/>
        <w:jc w:val="left"/>
      </w:pPr>
      <w:rPr>
        <w:rFonts w:ascii="Times New Roman" w:eastAsia="Times New Roman" w:hAnsi="Times New Roman" w:cs="Times New Roman" w:hint="default"/>
        <w:spacing w:val="-1"/>
        <w:w w:val="100"/>
        <w:sz w:val="24"/>
        <w:szCs w:val="24"/>
        <w:lang w:val="en-US" w:eastAsia="en-US" w:bidi="ar-SA"/>
      </w:rPr>
    </w:lvl>
    <w:lvl w:ilvl="2" w:tplc="706EBA56">
      <w:numFmt w:val="bullet"/>
      <w:lvlText w:val="•"/>
      <w:lvlJc w:val="left"/>
      <w:pPr>
        <w:ind w:left="2016" w:hanging="339"/>
      </w:pPr>
      <w:rPr>
        <w:rFonts w:hint="default"/>
        <w:lang w:val="en-US" w:eastAsia="en-US" w:bidi="ar-SA"/>
      </w:rPr>
    </w:lvl>
    <w:lvl w:ilvl="3" w:tplc="1A6CE80E">
      <w:numFmt w:val="bullet"/>
      <w:lvlText w:val="•"/>
      <w:lvlJc w:val="left"/>
      <w:pPr>
        <w:ind w:left="2964" w:hanging="339"/>
      </w:pPr>
      <w:rPr>
        <w:rFonts w:hint="default"/>
        <w:lang w:val="en-US" w:eastAsia="en-US" w:bidi="ar-SA"/>
      </w:rPr>
    </w:lvl>
    <w:lvl w:ilvl="4" w:tplc="F9C82190">
      <w:numFmt w:val="bullet"/>
      <w:lvlText w:val="•"/>
      <w:lvlJc w:val="left"/>
      <w:pPr>
        <w:ind w:left="3912" w:hanging="339"/>
      </w:pPr>
      <w:rPr>
        <w:rFonts w:hint="default"/>
        <w:lang w:val="en-US" w:eastAsia="en-US" w:bidi="ar-SA"/>
      </w:rPr>
    </w:lvl>
    <w:lvl w:ilvl="5" w:tplc="FED000FC">
      <w:numFmt w:val="bullet"/>
      <w:lvlText w:val="•"/>
      <w:lvlJc w:val="left"/>
      <w:pPr>
        <w:ind w:left="4860" w:hanging="339"/>
      </w:pPr>
      <w:rPr>
        <w:rFonts w:hint="default"/>
        <w:lang w:val="en-US" w:eastAsia="en-US" w:bidi="ar-SA"/>
      </w:rPr>
    </w:lvl>
    <w:lvl w:ilvl="6" w:tplc="256E6BDE">
      <w:numFmt w:val="bullet"/>
      <w:lvlText w:val="•"/>
      <w:lvlJc w:val="left"/>
      <w:pPr>
        <w:ind w:left="5808" w:hanging="339"/>
      </w:pPr>
      <w:rPr>
        <w:rFonts w:hint="default"/>
        <w:lang w:val="en-US" w:eastAsia="en-US" w:bidi="ar-SA"/>
      </w:rPr>
    </w:lvl>
    <w:lvl w:ilvl="7" w:tplc="A6408F4E">
      <w:numFmt w:val="bullet"/>
      <w:lvlText w:val="•"/>
      <w:lvlJc w:val="left"/>
      <w:pPr>
        <w:ind w:left="6756" w:hanging="339"/>
      </w:pPr>
      <w:rPr>
        <w:rFonts w:hint="default"/>
        <w:lang w:val="en-US" w:eastAsia="en-US" w:bidi="ar-SA"/>
      </w:rPr>
    </w:lvl>
    <w:lvl w:ilvl="8" w:tplc="091262DE">
      <w:numFmt w:val="bullet"/>
      <w:lvlText w:val="•"/>
      <w:lvlJc w:val="left"/>
      <w:pPr>
        <w:ind w:left="7704" w:hanging="339"/>
      </w:pPr>
      <w:rPr>
        <w:rFonts w:hint="default"/>
        <w:lang w:val="en-US" w:eastAsia="en-US" w:bidi="ar-SA"/>
      </w:rPr>
    </w:lvl>
  </w:abstractNum>
  <w:abstractNum w:abstractNumId="1" w15:restartNumberingAfterBreak="0">
    <w:nsid w:val="1DA21029"/>
    <w:multiLevelType w:val="hybridMultilevel"/>
    <w:tmpl w:val="61682CFE"/>
    <w:lvl w:ilvl="0" w:tplc="70B2C448">
      <w:start w:val="1"/>
      <w:numFmt w:val="decimal"/>
      <w:lvlText w:val="(%1)"/>
      <w:lvlJc w:val="left"/>
      <w:pPr>
        <w:ind w:left="120" w:hanging="358"/>
        <w:jc w:val="left"/>
      </w:pPr>
      <w:rPr>
        <w:rFonts w:ascii="Times New Roman" w:eastAsia="Times New Roman" w:hAnsi="Times New Roman" w:cs="Times New Roman" w:hint="default"/>
        <w:spacing w:val="-1"/>
        <w:w w:val="100"/>
        <w:sz w:val="24"/>
        <w:szCs w:val="24"/>
        <w:lang w:val="en-US" w:eastAsia="en-US" w:bidi="ar-SA"/>
      </w:rPr>
    </w:lvl>
    <w:lvl w:ilvl="1" w:tplc="735E700E">
      <w:numFmt w:val="bullet"/>
      <w:lvlText w:val="•"/>
      <w:lvlJc w:val="left"/>
      <w:pPr>
        <w:ind w:left="1068" w:hanging="358"/>
      </w:pPr>
      <w:rPr>
        <w:rFonts w:hint="default"/>
        <w:lang w:val="en-US" w:eastAsia="en-US" w:bidi="ar-SA"/>
      </w:rPr>
    </w:lvl>
    <w:lvl w:ilvl="2" w:tplc="6D44590A">
      <w:numFmt w:val="bullet"/>
      <w:lvlText w:val="•"/>
      <w:lvlJc w:val="left"/>
      <w:pPr>
        <w:ind w:left="2016" w:hanging="358"/>
      </w:pPr>
      <w:rPr>
        <w:rFonts w:hint="default"/>
        <w:lang w:val="en-US" w:eastAsia="en-US" w:bidi="ar-SA"/>
      </w:rPr>
    </w:lvl>
    <w:lvl w:ilvl="3" w:tplc="37566DCA">
      <w:numFmt w:val="bullet"/>
      <w:lvlText w:val="•"/>
      <w:lvlJc w:val="left"/>
      <w:pPr>
        <w:ind w:left="2964" w:hanging="358"/>
      </w:pPr>
      <w:rPr>
        <w:rFonts w:hint="default"/>
        <w:lang w:val="en-US" w:eastAsia="en-US" w:bidi="ar-SA"/>
      </w:rPr>
    </w:lvl>
    <w:lvl w:ilvl="4" w:tplc="5906ACC8">
      <w:numFmt w:val="bullet"/>
      <w:lvlText w:val="•"/>
      <w:lvlJc w:val="left"/>
      <w:pPr>
        <w:ind w:left="3912" w:hanging="358"/>
      </w:pPr>
      <w:rPr>
        <w:rFonts w:hint="default"/>
        <w:lang w:val="en-US" w:eastAsia="en-US" w:bidi="ar-SA"/>
      </w:rPr>
    </w:lvl>
    <w:lvl w:ilvl="5" w:tplc="ED4C1742">
      <w:numFmt w:val="bullet"/>
      <w:lvlText w:val="•"/>
      <w:lvlJc w:val="left"/>
      <w:pPr>
        <w:ind w:left="4860" w:hanging="358"/>
      </w:pPr>
      <w:rPr>
        <w:rFonts w:hint="default"/>
        <w:lang w:val="en-US" w:eastAsia="en-US" w:bidi="ar-SA"/>
      </w:rPr>
    </w:lvl>
    <w:lvl w:ilvl="6" w:tplc="9F2E3C4A">
      <w:numFmt w:val="bullet"/>
      <w:lvlText w:val="•"/>
      <w:lvlJc w:val="left"/>
      <w:pPr>
        <w:ind w:left="5808" w:hanging="358"/>
      </w:pPr>
      <w:rPr>
        <w:rFonts w:hint="default"/>
        <w:lang w:val="en-US" w:eastAsia="en-US" w:bidi="ar-SA"/>
      </w:rPr>
    </w:lvl>
    <w:lvl w:ilvl="7" w:tplc="6D469010">
      <w:numFmt w:val="bullet"/>
      <w:lvlText w:val="•"/>
      <w:lvlJc w:val="left"/>
      <w:pPr>
        <w:ind w:left="6756" w:hanging="358"/>
      </w:pPr>
      <w:rPr>
        <w:rFonts w:hint="default"/>
        <w:lang w:val="en-US" w:eastAsia="en-US" w:bidi="ar-SA"/>
      </w:rPr>
    </w:lvl>
    <w:lvl w:ilvl="8" w:tplc="3EC8E454">
      <w:numFmt w:val="bullet"/>
      <w:lvlText w:val="•"/>
      <w:lvlJc w:val="left"/>
      <w:pPr>
        <w:ind w:left="7704" w:hanging="358"/>
      </w:pPr>
      <w:rPr>
        <w:rFonts w:hint="default"/>
        <w:lang w:val="en-US" w:eastAsia="en-US" w:bidi="ar-SA"/>
      </w:rPr>
    </w:lvl>
  </w:abstractNum>
  <w:abstractNum w:abstractNumId="2" w15:restartNumberingAfterBreak="0">
    <w:nsid w:val="54783F47"/>
    <w:multiLevelType w:val="hybridMultilevel"/>
    <w:tmpl w:val="856266B8"/>
    <w:lvl w:ilvl="0" w:tplc="07E645A6">
      <w:start w:val="1"/>
      <w:numFmt w:val="decimal"/>
      <w:lvlText w:val="(%1)"/>
      <w:lvlJc w:val="left"/>
      <w:pPr>
        <w:ind w:left="446" w:hanging="327"/>
        <w:jc w:val="left"/>
      </w:pPr>
      <w:rPr>
        <w:rFonts w:ascii="Times New Roman" w:eastAsia="Times New Roman" w:hAnsi="Times New Roman" w:cs="Times New Roman" w:hint="default"/>
        <w:spacing w:val="-1"/>
        <w:w w:val="100"/>
        <w:sz w:val="24"/>
        <w:szCs w:val="24"/>
        <w:lang w:val="en-US" w:eastAsia="en-US" w:bidi="ar-SA"/>
      </w:rPr>
    </w:lvl>
    <w:lvl w:ilvl="1" w:tplc="72E2C7D2">
      <w:numFmt w:val="bullet"/>
      <w:lvlText w:val="•"/>
      <w:lvlJc w:val="left"/>
      <w:pPr>
        <w:ind w:left="1356" w:hanging="327"/>
      </w:pPr>
      <w:rPr>
        <w:rFonts w:hint="default"/>
        <w:lang w:val="en-US" w:eastAsia="en-US" w:bidi="ar-SA"/>
      </w:rPr>
    </w:lvl>
    <w:lvl w:ilvl="2" w:tplc="755CC532">
      <w:numFmt w:val="bullet"/>
      <w:lvlText w:val="•"/>
      <w:lvlJc w:val="left"/>
      <w:pPr>
        <w:ind w:left="2272" w:hanging="327"/>
      </w:pPr>
      <w:rPr>
        <w:rFonts w:hint="default"/>
        <w:lang w:val="en-US" w:eastAsia="en-US" w:bidi="ar-SA"/>
      </w:rPr>
    </w:lvl>
    <w:lvl w:ilvl="3" w:tplc="A330E1C0">
      <w:numFmt w:val="bullet"/>
      <w:lvlText w:val="•"/>
      <w:lvlJc w:val="left"/>
      <w:pPr>
        <w:ind w:left="3188" w:hanging="327"/>
      </w:pPr>
      <w:rPr>
        <w:rFonts w:hint="default"/>
        <w:lang w:val="en-US" w:eastAsia="en-US" w:bidi="ar-SA"/>
      </w:rPr>
    </w:lvl>
    <w:lvl w:ilvl="4" w:tplc="13C6EBEA">
      <w:numFmt w:val="bullet"/>
      <w:lvlText w:val="•"/>
      <w:lvlJc w:val="left"/>
      <w:pPr>
        <w:ind w:left="4104" w:hanging="327"/>
      </w:pPr>
      <w:rPr>
        <w:rFonts w:hint="default"/>
        <w:lang w:val="en-US" w:eastAsia="en-US" w:bidi="ar-SA"/>
      </w:rPr>
    </w:lvl>
    <w:lvl w:ilvl="5" w:tplc="14F44822">
      <w:numFmt w:val="bullet"/>
      <w:lvlText w:val="•"/>
      <w:lvlJc w:val="left"/>
      <w:pPr>
        <w:ind w:left="5020" w:hanging="327"/>
      </w:pPr>
      <w:rPr>
        <w:rFonts w:hint="default"/>
        <w:lang w:val="en-US" w:eastAsia="en-US" w:bidi="ar-SA"/>
      </w:rPr>
    </w:lvl>
    <w:lvl w:ilvl="6" w:tplc="AB04662A">
      <w:numFmt w:val="bullet"/>
      <w:lvlText w:val="•"/>
      <w:lvlJc w:val="left"/>
      <w:pPr>
        <w:ind w:left="5936" w:hanging="327"/>
      </w:pPr>
      <w:rPr>
        <w:rFonts w:hint="default"/>
        <w:lang w:val="en-US" w:eastAsia="en-US" w:bidi="ar-SA"/>
      </w:rPr>
    </w:lvl>
    <w:lvl w:ilvl="7" w:tplc="DFF44188">
      <w:numFmt w:val="bullet"/>
      <w:lvlText w:val="•"/>
      <w:lvlJc w:val="left"/>
      <w:pPr>
        <w:ind w:left="6852" w:hanging="327"/>
      </w:pPr>
      <w:rPr>
        <w:rFonts w:hint="default"/>
        <w:lang w:val="en-US" w:eastAsia="en-US" w:bidi="ar-SA"/>
      </w:rPr>
    </w:lvl>
    <w:lvl w:ilvl="8" w:tplc="7B805344">
      <w:numFmt w:val="bullet"/>
      <w:lvlText w:val="•"/>
      <w:lvlJc w:val="left"/>
      <w:pPr>
        <w:ind w:left="7768" w:hanging="327"/>
      </w:pPr>
      <w:rPr>
        <w:rFonts w:hint="default"/>
        <w:lang w:val="en-US" w:eastAsia="en-US" w:bidi="ar-SA"/>
      </w:rPr>
    </w:lvl>
  </w:abstractNum>
  <w:abstractNum w:abstractNumId="3" w15:restartNumberingAfterBreak="0">
    <w:nsid w:val="5F8D0175"/>
    <w:multiLevelType w:val="hybridMultilevel"/>
    <w:tmpl w:val="0D4C9014"/>
    <w:lvl w:ilvl="0" w:tplc="E97260C4">
      <w:start w:val="1"/>
      <w:numFmt w:val="decimal"/>
      <w:lvlText w:val="(%1)"/>
      <w:lvlJc w:val="left"/>
      <w:pPr>
        <w:ind w:left="120" w:hanging="358"/>
        <w:jc w:val="left"/>
      </w:pPr>
      <w:rPr>
        <w:rFonts w:ascii="Times New Roman" w:eastAsia="Times New Roman" w:hAnsi="Times New Roman" w:cs="Times New Roman" w:hint="default"/>
        <w:spacing w:val="-1"/>
        <w:w w:val="100"/>
        <w:sz w:val="24"/>
        <w:szCs w:val="24"/>
        <w:lang w:val="en-US" w:eastAsia="en-US" w:bidi="ar-SA"/>
      </w:rPr>
    </w:lvl>
    <w:lvl w:ilvl="1" w:tplc="A2FE7F16">
      <w:numFmt w:val="bullet"/>
      <w:lvlText w:val="•"/>
      <w:lvlJc w:val="left"/>
      <w:pPr>
        <w:ind w:left="1068" w:hanging="358"/>
      </w:pPr>
      <w:rPr>
        <w:rFonts w:hint="default"/>
        <w:lang w:val="en-US" w:eastAsia="en-US" w:bidi="ar-SA"/>
      </w:rPr>
    </w:lvl>
    <w:lvl w:ilvl="2" w:tplc="FA5E8426">
      <w:numFmt w:val="bullet"/>
      <w:lvlText w:val="•"/>
      <w:lvlJc w:val="left"/>
      <w:pPr>
        <w:ind w:left="2016" w:hanging="358"/>
      </w:pPr>
      <w:rPr>
        <w:rFonts w:hint="default"/>
        <w:lang w:val="en-US" w:eastAsia="en-US" w:bidi="ar-SA"/>
      </w:rPr>
    </w:lvl>
    <w:lvl w:ilvl="3" w:tplc="2EE42768">
      <w:numFmt w:val="bullet"/>
      <w:lvlText w:val="•"/>
      <w:lvlJc w:val="left"/>
      <w:pPr>
        <w:ind w:left="2964" w:hanging="358"/>
      </w:pPr>
      <w:rPr>
        <w:rFonts w:hint="default"/>
        <w:lang w:val="en-US" w:eastAsia="en-US" w:bidi="ar-SA"/>
      </w:rPr>
    </w:lvl>
    <w:lvl w:ilvl="4" w:tplc="07C2E588">
      <w:numFmt w:val="bullet"/>
      <w:lvlText w:val="•"/>
      <w:lvlJc w:val="left"/>
      <w:pPr>
        <w:ind w:left="3912" w:hanging="358"/>
      </w:pPr>
      <w:rPr>
        <w:rFonts w:hint="default"/>
        <w:lang w:val="en-US" w:eastAsia="en-US" w:bidi="ar-SA"/>
      </w:rPr>
    </w:lvl>
    <w:lvl w:ilvl="5" w:tplc="2CEE20F6">
      <w:numFmt w:val="bullet"/>
      <w:lvlText w:val="•"/>
      <w:lvlJc w:val="left"/>
      <w:pPr>
        <w:ind w:left="4860" w:hanging="358"/>
      </w:pPr>
      <w:rPr>
        <w:rFonts w:hint="default"/>
        <w:lang w:val="en-US" w:eastAsia="en-US" w:bidi="ar-SA"/>
      </w:rPr>
    </w:lvl>
    <w:lvl w:ilvl="6" w:tplc="BD7EFE1C">
      <w:numFmt w:val="bullet"/>
      <w:lvlText w:val="•"/>
      <w:lvlJc w:val="left"/>
      <w:pPr>
        <w:ind w:left="5808" w:hanging="358"/>
      </w:pPr>
      <w:rPr>
        <w:rFonts w:hint="default"/>
        <w:lang w:val="en-US" w:eastAsia="en-US" w:bidi="ar-SA"/>
      </w:rPr>
    </w:lvl>
    <w:lvl w:ilvl="7" w:tplc="40AA4D54">
      <w:numFmt w:val="bullet"/>
      <w:lvlText w:val="•"/>
      <w:lvlJc w:val="left"/>
      <w:pPr>
        <w:ind w:left="6756" w:hanging="358"/>
      </w:pPr>
      <w:rPr>
        <w:rFonts w:hint="default"/>
        <w:lang w:val="en-US" w:eastAsia="en-US" w:bidi="ar-SA"/>
      </w:rPr>
    </w:lvl>
    <w:lvl w:ilvl="8" w:tplc="FA288322">
      <w:numFmt w:val="bullet"/>
      <w:lvlText w:val="•"/>
      <w:lvlJc w:val="left"/>
      <w:pPr>
        <w:ind w:left="7704" w:hanging="358"/>
      </w:pPr>
      <w:rPr>
        <w:rFonts w:hint="default"/>
        <w:lang w:val="en-US" w:eastAsia="en-US" w:bidi="ar-SA"/>
      </w:rPr>
    </w:lvl>
  </w:abstractNum>
  <w:abstractNum w:abstractNumId="4" w15:restartNumberingAfterBreak="0">
    <w:nsid w:val="6F9B5919"/>
    <w:multiLevelType w:val="hybridMultilevel"/>
    <w:tmpl w:val="C1E63DF4"/>
    <w:lvl w:ilvl="0" w:tplc="34DA0DBE">
      <w:start w:val="1"/>
      <w:numFmt w:val="decimal"/>
      <w:lvlText w:val="(%1)"/>
      <w:lvlJc w:val="left"/>
      <w:pPr>
        <w:ind w:left="120" w:hanging="408"/>
        <w:jc w:val="left"/>
      </w:pPr>
      <w:rPr>
        <w:rFonts w:ascii="Times New Roman" w:eastAsia="Times New Roman" w:hAnsi="Times New Roman" w:cs="Times New Roman" w:hint="default"/>
        <w:spacing w:val="-1"/>
        <w:w w:val="100"/>
        <w:sz w:val="24"/>
        <w:szCs w:val="24"/>
        <w:lang w:val="en-US" w:eastAsia="en-US" w:bidi="ar-SA"/>
      </w:rPr>
    </w:lvl>
    <w:lvl w:ilvl="1" w:tplc="6E2639CA">
      <w:start w:val="1"/>
      <w:numFmt w:val="lowerLetter"/>
      <w:lvlText w:val="(%2)"/>
      <w:lvlJc w:val="left"/>
      <w:pPr>
        <w:ind w:left="840" w:hanging="346"/>
        <w:jc w:val="left"/>
      </w:pPr>
      <w:rPr>
        <w:rFonts w:ascii="Times New Roman" w:eastAsia="Times New Roman" w:hAnsi="Times New Roman" w:cs="Times New Roman" w:hint="default"/>
        <w:spacing w:val="-1"/>
        <w:w w:val="100"/>
        <w:sz w:val="24"/>
        <w:szCs w:val="24"/>
        <w:lang w:val="en-US" w:eastAsia="en-US" w:bidi="ar-SA"/>
      </w:rPr>
    </w:lvl>
    <w:lvl w:ilvl="2" w:tplc="6E1E17F8">
      <w:start w:val="1"/>
      <w:numFmt w:val="lowerRoman"/>
      <w:lvlText w:val="(%3)"/>
      <w:lvlJc w:val="left"/>
      <w:pPr>
        <w:ind w:left="1845" w:hanging="286"/>
        <w:jc w:val="left"/>
      </w:pPr>
      <w:rPr>
        <w:rFonts w:ascii="Times New Roman" w:eastAsia="Times New Roman" w:hAnsi="Times New Roman" w:cs="Times New Roman" w:hint="default"/>
        <w:spacing w:val="-1"/>
        <w:w w:val="100"/>
        <w:sz w:val="24"/>
        <w:szCs w:val="24"/>
        <w:lang w:val="en-US" w:eastAsia="en-US" w:bidi="ar-SA"/>
      </w:rPr>
    </w:lvl>
    <w:lvl w:ilvl="3" w:tplc="E430CBFC">
      <w:numFmt w:val="bullet"/>
      <w:lvlText w:val="•"/>
      <w:lvlJc w:val="left"/>
      <w:pPr>
        <w:ind w:left="2810" w:hanging="286"/>
      </w:pPr>
      <w:rPr>
        <w:rFonts w:hint="default"/>
        <w:lang w:val="en-US" w:eastAsia="en-US" w:bidi="ar-SA"/>
      </w:rPr>
    </w:lvl>
    <w:lvl w:ilvl="4" w:tplc="30C8F3CC">
      <w:numFmt w:val="bullet"/>
      <w:lvlText w:val="•"/>
      <w:lvlJc w:val="left"/>
      <w:pPr>
        <w:ind w:left="3780" w:hanging="286"/>
      </w:pPr>
      <w:rPr>
        <w:rFonts w:hint="default"/>
        <w:lang w:val="en-US" w:eastAsia="en-US" w:bidi="ar-SA"/>
      </w:rPr>
    </w:lvl>
    <w:lvl w:ilvl="5" w:tplc="614884CC">
      <w:numFmt w:val="bullet"/>
      <w:lvlText w:val="•"/>
      <w:lvlJc w:val="left"/>
      <w:pPr>
        <w:ind w:left="4750" w:hanging="286"/>
      </w:pPr>
      <w:rPr>
        <w:rFonts w:hint="default"/>
        <w:lang w:val="en-US" w:eastAsia="en-US" w:bidi="ar-SA"/>
      </w:rPr>
    </w:lvl>
    <w:lvl w:ilvl="6" w:tplc="1632F742">
      <w:numFmt w:val="bullet"/>
      <w:lvlText w:val="•"/>
      <w:lvlJc w:val="left"/>
      <w:pPr>
        <w:ind w:left="5720" w:hanging="286"/>
      </w:pPr>
      <w:rPr>
        <w:rFonts w:hint="default"/>
        <w:lang w:val="en-US" w:eastAsia="en-US" w:bidi="ar-SA"/>
      </w:rPr>
    </w:lvl>
    <w:lvl w:ilvl="7" w:tplc="68807BC2">
      <w:numFmt w:val="bullet"/>
      <w:lvlText w:val="•"/>
      <w:lvlJc w:val="left"/>
      <w:pPr>
        <w:ind w:left="6690" w:hanging="286"/>
      </w:pPr>
      <w:rPr>
        <w:rFonts w:hint="default"/>
        <w:lang w:val="en-US" w:eastAsia="en-US" w:bidi="ar-SA"/>
      </w:rPr>
    </w:lvl>
    <w:lvl w:ilvl="8" w:tplc="3EA0EE3A">
      <w:numFmt w:val="bullet"/>
      <w:lvlText w:val="•"/>
      <w:lvlJc w:val="left"/>
      <w:pPr>
        <w:ind w:left="7660" w:hanging="286"/>
      </w:pPr>
      <w:rPr>
        <w:rFonts w:hint="default"/>
        <w:lang w:val="en-US" w:eastAsia="en-US" w:bidi="ar-S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4D"/>
    <w:rsid w:val="0066624D"/>
    <w:rsid w:val="007C124A"/>
    <w:rsid w:val="007E0FA8"/>
    <w:rsid w:val="00836AEF"/>
    <w:rsid w:val="00C94CC3"/>
    <w:rsid w:val="00CB3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11C1C"/>
  <w15:docId w15:val="{8A3CD676-D02A-4845-96A6-B1EA1BA0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 Finch</dc:creator>
  <cp:lastModifiedBy>Lisa Record</cp:lastModifiedBy>
  <cp:revision>3</cp:revision>
  <cp:lastPrinted>2021-01-04T16:29:00Z</cp:lastPrinted>
  <dcterms:created xsi:type="dcterms:W3CDTF">2021-01-04T16:27:00Z</dcterms:created>
  <dcterms:modified xsi:type="dcterms:W3CDTF">2021-01-04T16:30:00Z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2020-09-23T00:00:00Z</vt:filetime>
  </property>
  <property fmtid="{D5CDD505-2E9C-101B-9397-08002B2CF9AE}" pid="3" name="Creator">
    <vt:lpwstr>Acrobat PDFMaker 20 for Word</vt:lpwstr>
  </property>
  <property fmtid="{D5CDD505-2E9C-101B-9397-08002B2CF9AE}" pid="4" name="LastSaved">
    <vt:filetime>2020-12-09T00:00:00Z</vt:filetime>
  </property>
</Properties>
</file>